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9A08" w14:textId="7D5440A2" w:rsidR="00626679" w:rsidRDefault="00626679" w:rsidP="00AD2E70">
      <w:pPr>
        <w:jc w:val="both"/>
        <w:rPr>
          <w:rFonts w:ascii="Times New Roman" w:hAnsi="Times New Roman" w:cs="Times New Roman"/>
          <w:b/>
          <w:sz w:val="24"/>
          <w:szCs w:val="24"/>
          <w:u w:val="single"/>
          <w:lang w:val="en-CA"/>
        </w:rPr>
      </w:pPr>
      <w:r w:rsidRPr="00AD2E70">
        <w:rPr>
          <w:rFonts w:ascii="Times New Roman" w:hAnsi="Times New Roman" w:cs="Times New Roman"/>
          <w:b/>
          <w:sz w:val="24"/>
          <w:szCs w:val="24"/>
          <w:u w:val="single"/>
          <w:lang w:val="en-CA"/>
        </w:rPr>
        <w:t xml:space="preserve">Summary Judgments, Personal Guarantees and the Court’s Attitude </w:t>
      </w:r>
    </w:p>
    <w:p w14:paraId="244085C8" w14:textId="659583E7" w:rsidR="009944F4" w:rsidRPr="009944F4" w:rsidRDefault="009944F4" w:rsidP="00AD2E70">
      <w:pPr>
        <w:jc w:val="both"/>
        <w:rPr>
          <w:rFonts w:ascii="Times New Roman" w:hAnsi="Times New Roman" w:cs="Times New Roman"/>
          <w:b/>
          <w:sz w:val="24"/>
          <w:szCs w:val="24"/>
          <w:lang w:val="en-CA"/>
        </w:rPr>
      </w:pPr>
      <w:r w:rsidRPr="009944F4">
        <w:rPr>
          <w:rFonts w:ascii="Times New Roman" w:hAnsi="Times New Roman" w:cs="Times New Roman"/>
          <w:b/>
          <w:sz w:val="24"/>
          <w:szCs w:val="24"/>
          <w:lang w:val="en-CA"/>
        </w:rPr>
        <w:t>By Brett J. Maer</w:t>
      </w:r>
      <w:r>
        <w:rPr>
          <w:rFonts w:ascii="Times New Roman" w:hAnsi="Times New Roman" w:cs="Times New Roman"/>
          <w:b/>
          <w:sz w:val="24"/>
          <w:szCs w:val="24"/>
          <w:lang w:val="en-CA"/>
        </w:rPr>
        <w:t>z, Articling Student at Robertson Stromberg LLP</w:t>
      </w:r>
    </w:p>
    <w:p w14:paraId="0196BF65" w14:textId="5272131E" w:rsidR="004B15BF" w:rsidRPr="00AD2E70" w:rsidRDefault="004B15BF" w:rsidP="00AD2E70">
      <w:pPr>
        <w:jc w:val="both"/>
        <w:rPr>
          <w:rFonts w:ascii="Times New Roman" w:hAnsi="Times New Roman" w:cs="Times New Roman"/>
          <w:sz w:val="24"/>
          <w:szCs w:val="24"/>
          <w:lang w:val="en-CA"/>
        </w:rPr>
      </w:pPr>
      <w:r w:rsidRPr="00AD2E70">
        <w:rPr>
          <w:rFonts w:ascii="Times New Roman" w:hAnsi="Times New Roman" w:cs="Times New Roman"/>
          <w:sz w:val="24"/>
          <w:szCs w:val="24"/>
          <w:lang w:val="en-CA"/>
        </w:rPr>
        <w:t>In</w:t>
      </w:r>
      <w:r w:rsidR="00BB55EF" w:rsidRPr="00AD2E70">
        <w:rPr>
          <w:rFonts w:ascii="Times New Roman" w:hAnsi="Times New Roman" w:cs="Times New Roman"/>
          <w:sz w:val="24"/>
          <w:szCs w:val="24"/>
          <w:lang w:val="en-CA"/>
        </w:rPr>
        <w:t xml:space="preserve"> </w:t>
      </w:r>
      <w:r w:rsidR="0062252F" w:rsidRPr="00AD2E70">
        <w:rPr>
          <w:rFonts w:ascii="Times New Roman" w:hAnsi="Times New Roman" w:cs="Times New Roman"/>
          <w:i/>
          <w:sz w:val="24"/>
          <w:szCs w:val="24"/>
          <w:lang w:val="en-CA"/>
        </w:rPr>
        <w:t>Hry</w:t>
      </w:r>
      <w:r w:rsidR="00BB55EF" w:rsidRPr="00AD2E70">
        <w:rPr>
          <w:rFonts w:ascii="Times New Roman" w:hAnsi="Times New Roman" w:cs="Times New Roman"/>
          <w:i/>
          <w:sz w:val="24"/>
          <w:szCs w:val="24"/>
          <w:lang w:val="en-CA"/>
        </w:rPr>
        <w:t>niak v Mauldin</w:t>
      </w:r>
      <w:r w:rsidR="00484C1E" w:rsidRPr="00AD2E70">
        <w:rPr>
          <w:rFonts w:ascii="Times New Roman" w:hAnsi="Times New Roman" w:cs="Times New Roman"/>
          <w:i/>
          <w:sz w:val="24"/>
          <w:szCs w:val="24"/>
          <w:lang w:val="en-CA"/>
        </w:rPr>
        <w:t>,</w:t>
      </w:r>
      <w:r w:rsidR="00484C1E" w:rsidRPr="00AD2E70">
        <w:rPr>
          <w:rStyle w:val="FootnoteReference"/>
          <w:rFonts w:ascii="Times New Roman" w:hAnsi="Times New Roman" w:cs="Times New Roman"/>
          <w:i/>
          <w:sz w:val="24"/>
          <w:szCs w:val="24"/>
          <w:lang w:val="en-CA"/>
        </w:rPr>
        <w:footnoteReference w:id="1"/>
      </w:r>
      <w:r w:rsidRPr="00AD2E70">
        <w:rPr>
          <w:rFonts w:ascii="Times New Roman" w:hAnsi="Times New Roman" w:cs="Times New Roman"/>
          <w:sz w:val="24"/>
          <w:szCs w:val="24"/>
          <w:lang w:val="en-CA"/>
        </w:rPr>
        <w:t xml:space="preserve"> the Supreme Court of Canada creates </w:t>
      </w:r>
      <w:r w:rsidR="00BB55EF" w:rsidRPr="00AD2E70">
        <w:rPr>
          <w:rFonts w:ascii="Times New Roman" w:hAnsi="Times New Roman" w:cs="Times New Roman"/>
          <w:sz w:val="24"/>
          <w:szCs w:val="24"/>
          <w:lang w:val="en-CA"/>
        </w:rPr>
        <w:t xml:space="preserve">an avenue for timely and affordable justice </w:t>
      </w:r>
      <w:r w:rsidRPr="00AD2E70">
        <w:rPr>
          <w:rFonts w:ascii="Times New Roman" w:hAnsi="Times New Roman" w:cs="Times New Roman"/>
          <w:sz w:val="24"/>
          <w:szCs w:val="24"/>
          <w:lang w:val="en-CA"/>
        </w:rPr>
        <w:t>through summary judgment</w:t>
      </w:r>
      <w:r w:rsidR="009944F4">
        <w:rPr>
          <w:rFonts w:ascii="Times New Roman" w:hAnsi="Times New Roman" w:cs="Times New Roman"/>
          <w:sz w:val="24"/>
          <w:szCs w:val="24"/>
          <w:lang w:val="en-CA"/>
        </w:rPr>
        <w:t>s</w:t>
      </w:r>
      <w:r w:rsidR="00BB55EF" w:rsidRPr="00AD2E70">
        <w:rPr>
          <w:rFonts w:ascii="Times New Roman" w:hAnsi="Times New Roman" w:cs="Times New Roman"/>
          <w:sz w:val="24"/>
          <w:szCs w:val="24"/>
          <w:lang w:val="en-CA"/>
        </w:rPr>
        <w:t xml:space="preserve">. However, what happens when the stakes of </w:t>
      </w:r>
      <w:r w:rsidRPr="00AD2E70">
        <w:rPr>
          <w:rFonts w:ascii="Times New Roman" w:hAnsi="Times New Roman" w:cs="Times New Roman"/>
          <w:sz w:val="24"/>
          <w:szCs w:val="24"/>
          <w:lang w:val="en-CA"/>
        </w:rPr>
        <w:t xml:space="preserve">a summary judgment may cost a party millions of dollars? Many would argue a decision of this magnitude is not appropriate for summary judgment, </w:t>
      </w:r>
      <w:r w:rsidR="00DD4FD6">
        <w:rPr>
          <w:rFonts w:ascii="Times New Roman" w:hAnsi="Times New Roman" w:cs="Times New Roman"/>
          <w:sz w:val="24"/>
          <w:szCs w:val="24"/>
          <w:lang w:val="en-CA"/>
        </w:rPr>
        <w:t>however,</w:t>
      </w:r>
      <w:r w:rsidR="00DD4FD6" w:rsidRPr="00AD2E70">
        <w:rPr>
          <w:rFonts w:ascii="Times New Roman" w:hAnsi="Times New Roman" w:cs="Times New Roman"/>
          <w:sz w:val="24"/>
          <w:szCs w:val="24"/>
          <w:lang w:val="en-CA"/>
        </w:rPr>
        <w:t xml:space="preserve"> </w:t>
      </w:r>
      <w:r w:rsidRPr="00AD2E70">
        <w:rPr>
          <w:rFonts w:ascii="Times New Roman" w:hAnsi="Times New Roman" w:cs="Times New Roman"/>
          <w:sz w:val="24"/>
          <w:szCs w:val="24"/>
          <w:lang w:val="en-CA"/>
        </w:rPr>
        <w:t>in the case of personal guarantees</w:t>
      </w:r>
      <w:r w:rsidR="009C7DB7" w:rsidRPr="00AD2E70">
        <w:rPr>
          <w:rFonts w:ascii="Times New Roman" w:hAnsi="Times New Roman" w:cs="Times New Roman"/>
          <w:sz w:val="24"/>
          <w:szCs w:val="24"/>
          <w:lang w:val="en-CA"/>
        </w:rPr>
        <w:t>,</w:t>
      </w:r>
      <w:r w:rsidRPr="00AD2E70">
        <w:rPr>
          <w:rFonts w:ascii="Times New Roman" w:hAnsi="Times New Roman" w:cs="Times New Roman"/>
          <w:sz w:val="24"/>
          <w:szCs w:val="24"/>
          <w:lang w:val="en-CA"/>
        </w:rPr>
        <w:t xml:space="preserve"> </w:t>
      </w:r>
      <w:r w:rsidR="00F96DB5">
        <w:rPr>
          <w:rFonts w:ascii="Times New Roman" w:hAnsi="Times New Roman" w:cs="Times New Roman"/>
          <w:sz w:val="24"/>
          <w:szCs w:val="24"/>
          <w:lang w:val="en-CA"/>
        </w:rPr>
        <w:t>c</w:t>
      </w:r>
      <w:r w:rsidRPr="00AD2E70">
        <w:rPr>
          <w:rFonts w:ascii="Times New Roman" w:hAnsi="Times New Roman" w:cs="Times New Roman"/>
          <w:sz w:val="24"/>
          <w:szCs w:val="24"/>
          <w:lang w:val="en-CA"/>
        </w:rPr>
        <w:t>ourts</w:t>
      </w:r>
      <w:r w:rsidR="00F96DB5">
        <w:rPr>
          <w:rFonts w:ascii="Times New Roman" w:hAnsi="Times New Roman" w:cs="Times New Roman"/>
          <w:sz w:val="24"/>
          <w:szCs w:val="24"/>
          <w:lang w:val="en-CA"/>
        </w:rPr>
        <w:t xml:space="preserve"> across Canada</w:t>
      </w:r>
      <w:r w:rsidRPr="00AD2E70">
        <w:rPr>
          <w:rFonts w:ascii="Times New Roman" w:hAnsi="Times New Roman" w:cs="Times New Roman"/>
          <w:sz w:val="24"/>
          <w:szCs w:val="24"/>
          <w:lang w:val="en-CA"/>
        </w:rPr>
        <w:t xml:space="preserve"> have </w:t>
      </w:r>
      <w:r w:rsidR="00DD4FD6">
        <w:rPr>
          <w:rFonts w:ascii="Times New Roman" w:hAnsi="Times New Roman" w:cs="Times New Roman"/>
          <w:sz w:val="24"/>
          <w:szCs w:val="24"/>
          <w:lang w:val="en-CA"/>
        </w:rPr>
        <w:t>repeatedly</w:t>
      </w:r>
      <w:r w:rsidR="00DD4FD6" w:rsidRPr="00AD2E70">
        <w:rPr>
          <w:rFonts w:ascii="Times New Roman" w:hAnsi="Times New Roman" w:cs="Times New Roman"/>
          <w:sz w:val="24"/>
          <w:szCs w:val="24"/>
          <w:lang w:val="en-CA"/>
        </w:rPr>
        <w:t xml:space="preserve"> </w:t>
      </w:r>
      <w:r w:rsidRPr="00AD2E70">
        <w:rPr>
          <w:rFonts w:ascii="Times New Roman" w:hAnsi="Times New Roman" w:cs="Times New Roman"/>
          <w:sz w:val="24"/>
          <w:szCs w:val="24"/>
          <w:lang w:val="en-CA"/>
        </w:rPr>
        <w:t xml:space="preserve">ruled otherwise. </w:t>
      </w:r>
    </w:p>
    <w:p w14:paraId="0F3945D5" w14:textId="426F62A6" w:rsidR="004B15BF" w:rsidRPr="00AD2E70" w:rsidRDefault="004B15BF" w:rsidP="00AD2E70">
      <w:pPr>
        <w:jc w:val="both"/>
        <w:rPr>
          <w:rFonts w:ascii="Times New Roman" w:hAnsi="Times New Roman" w:cs="Times New Roman"/>
          <w:sz w:val="24"/>
          <w:szCs w:val="24"/>
          <w:lang w:val="en-CA"/>
        </w:rPr>
      </w:pPr>
      <w:r w:rsidRPr="00AD2E70">
        <w:rPr>
          <w:rFonts w:ascii="Times New Roman" w:hAnsi="Times New Roman" w:cs="Times New Roman"/>
          <w:sz w:val="24"/>
          <w:szCs w:val="24"/>
          <w:lang w:val="en-CA"/>
        </w:rPr>
        <w:t xml:space="preserve">At its most rudimentary level, a personal guarantee is simply a promise made by a person (the guarantor) to accept responsibility for some other party’s debt (the debtor) if </w:t>
      </w:r>
      <w:r w:rsidR="009C7DB7" w:rsidRPr="00AD2E70">
        <w:rPr>
          <w:rFonts w:ascii="Times New Roman" w:hAnsi="Times New Roman" w:cs="Times New Roman"/>
          <w:sz w:val="24"/>
          <w:szCs w:val="24"/>
          <w:lang w:val="en-CA"/>
        </w:rPr>
        <w:t>t</w:t>
      </w:r>
      <w:r w:rsidRPr="00AD2E70">
        <w:rPr>
          <w:rFonts w:ascii="Times New Roman" w:hAnsi="Times New Roman" w:cs="Times New Roman"/>
          <w:sz w:val="24"/>
          <w:szCs w:val="24"/>
          <w:lang w:val="en-CA"/>
        </w:rPr>
        <w:t xml:space="preserve">he debtor fails to </w:t>
      </w:r>
      <w:r w:rsidR="009C7DB7" w:rsidRPr="00AD2E70">
        <w:rPr>
          <w:rFonts w:ascii="Times New Roman" w:hAnsi="Times New Roman" w:cs="Times New Roman"/>
          <w:sz w:val="24"/>
          <w:szCs w:val="24"/>
          <w:lang w:val="en-CA"/>
        </w:rPr>
        <w:t>repay outstanding debt</w:t>
      </w:r>
      <w:r w:rsidR="0062252F" w:rsidRPr="00AD2E70">
        <w:rPr>
          <w:rFonts w:ascii="Times New Roman" w:hAnsi="Times New Roman" w:cs="Times New Roman"/>
          <w:sz w:val="24"/>
          <w:szCs w:val="24"/>
          <w:lang w:val="en-CA"/>
        </w:rPr>
        <w:t xml:space="preserve"> owed to a lendor</w:t>
      </w:r>
      <w:r w:rsidR="00CB188D" w:rsidRPr="00AD2E70">
        <w:rPr>
          <w:rFonts w:ascii="Times New Roman" w:hAnsi="Times New Roman" w:cs="Times New Roman"/>
          <w:sz w:val="24"/>
          <w:szCs w:val="24"/>
          <w:lang w:val="en-CA"/>
        </w:rPr>
        <w:t xml:space="preserve"> (most commonly a bank)</w:t>
      </w:r>
      <w:r w:rsidR="009C7DB7" w:rsidRPr="00AD2E70">
        <w:rPr>
          <w:rFonts w:ascii="Times New Roman" w:hAnsi="Times New Roman" w:cs="Times New Roman"/>
          <w:sz w:val="24"/>
          <w:szCs w:val="24"/>
          <w:lang w:val="en-CA"/>
        </w:rPr>
        <w:t>. The relationship between</w:t>
      </w:r>
      <w:r w:rsidR="00DD4FD6">
        <w:rPr>
          <w:rFonts w:ascii="Times New Roman" w:hAnsi="Times New Roman" w:cs="Times New Roman"/>
          <w:sz w:val="24"/>
          <w:szCs w:val="24"/>
          <w:lang w:val="en-CA"/>
        </w:rPr>
        <w:t xml:space="preserve"> the availability of</w:t>
      </w:r>
      <w:r w:rsidR="009C7DB7" w:rsidRPr="00AD2E70">
        <w:rPr>
          <w:rFonts w:ascii="Times New Roman" w:hAnsi="Times New Roman" w:cs="Times New Roman"/>
          <w:sz w:val="24"/>
          <w:szCs w:val="24"/>
          <w:lang w:val="en-CA"/>
        </w:rPr>
        <w:t xml:space="preserve"> summary judgments and personal guarantees</w:t>
      </w:r>
      <w:r w:rsidR="006E02DC">
        <w:rPr>
          <w:rFonts w:ascii="Times New Roman" w:hAnsi="Times New Roman" w:cs="Times New Roman"/>
          <w:sz w:val="24"/>
          <w:szCs w:val="24"/>
          <w:lang w:val="en-CA"/>
        </w:rPr>
        <w:t>,</w:t>
      </w:r>
      <w:r w:rsidR="00DD4FD6">
        <w:rPr>
          <w:rFonts w:ascii="Times New Roman" w:hAnsi="Times New Roman" w:cs="Times New Roman"/>
          <w:sz w:val="24"/>
          <w:szCs w:val="24"/>
          <w:lang w:val="en-CA"/>
        </w:rPr>
        <w:t xml:space="preserve"> at least following </w:t>
      </w:r>
      <w:r w:rsidR="00DD4FD6">
        <w:rPr>
          <w:rFonts w:ascii="Times New Roman" w:hAnsi="Times New Roman" w:cs="Times New Roman"/>
          <w:i/>
          <w:iCs/>
          <w:sz w:val="24"/>
          <w:szCs w:val="24"/>
          <w:lang w:val="en-CA"/>
        </w:rPr>
        <w:t>Hryniak</w:t>
      </w:r>
      <w:r w:rsidR="00DD4FD6">
        <w:rPr>
          <w:rFonts w:ascii="Times New Roman" w:hAnsi="Times New Roman" w:cs="Times New Roman"/>
          <w:sz w:val="24"/>
          <w:szCs w:val="24"/>
          <w:lang w:val="en-CA"/>
        </w:rPr>
        <w:t>, appears to be</w:t>
      </w:r>
      <w:r w:rsidR="00DD4FD6" w:rsidRPr="00AD2E70">
        <w:rPr>
          <w:rFonts w:ascii="Times New Roman" w:hAnsi="Times New Roman" w:cs="Times New Roman"/>
          <w:sz w:val="24"/>
          <w:szCs w:val="24"/>
          <w:lang w:val="en-CA"/>
        </w:rPr>
        <w:t xml:space="preserve"> </w:t>
      </w:r>
      <w:r w:rsidR="009C7DB7" w:rsidRPr="00AD2E70">
        <w:rPr>
          <w:rFonts w:ascii="Times New Roman" w:hAnsi="Times New Roman" w:cs="Times New Roman"/>
          <w:sz w:val="24"/>
          <w:szCs w:val="24"/>
          <w:lang w:val="en-CA"/>
        </w:rPr>
        <w:t>surprisingly straightforward in the eyes of the judiciary</w:t>
      </w:r>
      <w:r w:rsidR="0062252F" w:rsidRPr="00AD2E70">
        <w:rPr>
          <w:rFonts w:ascii="Times New Roman" w:hAnsi="Times New Roman" w:cs="Times New Roman"/>
          <w:sz w:val="24"/>
          <w:szCs w:val="24"/>
          <w:lang w:val="en-CA"/>
        </w:rPr>
        <w:t xml:space="preserve">. An in-depth note up of </w:t>
      </w:r>
      <w:r w:rsidR="0062252F" w:rsidRPr="00AD2E70">
        <w:rPr>
          <w:rFonts w:ascii="Times New Roman" w:hAnsi="Times New Roman" w:cs="Times New Roman"/>
          <w:i/>
          <w:sz w:val="24"/>
          <w:szCs w:val="24"/>
          <w:lang w:val="en-CA"/>
        </w:rPr>
        <w:t>Hryniak</w:t>
      </w:r>
      <w:r w:rsidR="0062252F" w:rsidRPr="00AD2E70">
        <w:rPr>
          <w:rFonts w:ascii="Times New Roman" w:hAnsi="Times New Roman" w:cs="Times New Roman"/>
          <w:sz w:val="24"/>
          <w:szCs w:val="24"/>
          <w:lang w:val="en-CA"/>
        </w:rPr>
        <w:t xml:space="preserve"> illustrates </w:t>
      </w:r>
      <w:r w:rsidR="0030105D">
        <w:rPr>
          <w:rFonts w:ascii="Times New Roman" w:hAnsi="Times New Roman" w:cs="Times New Roman"/>
          <w:sz w:val="24"/>
          <w:szCs w:val="24"/>
          <w:lang w:val="en-CA"/>
        </w:rPr>
        <w:t>a</w:t>
      </w:r>
      <w:r w:rsidR="00F96DB5">
        <w:rPr>
          <w:rFonts w:ascii="Times New Roman" w:hAnsi="Times New Roman" w:cs="Times New Roman"/>
          <w:sz w:val="24"/>
          <w:szCs w:val="24"/>
          <w:lang w:val="en-CA"/>
        </w:rPr>
        <w:t xml:space="preserve"> </w:t>
      </w:r>
      <w:r w:rsidR="0030105D">
        <w:rPr>
          <w:rFonts w:ascii="Times New Roman" w:hAnsi="Times New Roman" w:cs="Times New Roman"/>
          <w:sz w:val="24"/>
          <w:szCs w:val="24"/>
          <w:lang w:val="en-CA"/>
        </w:rPr>
        <w:t>c</w:t>
      </w:r>
      <w:r w:rsidR="0062252F" w:rsidRPr="00AD2E70">
        <w:rPr>
          <w:rFonts w:ascii="Times New Roman" w:hAnsi="Times New Roman" w:cs="Times New Roman"/>
          <w:sz w:val="24"/>
          <w:szCs w:val="24"/>
          <w:lang w:val="en-CA"/>
        </w:rPr>
        <w:t>ourt</w:t>
      </w:r>
      <w:r w:rsidR="00CB188D" w:rsidRPr="00AD2E70">
        <w:rPr>
          <w:rFonts w:ascii="Times New Roman" w:hAnsi="Times New Roman" w:cs="Times New Roman"/>
          <w:sz w:val="24"/>
          <w:szCs w:val="24"/>
          <w:lang w:val="en-CA"/>
        </w:rPr>
        <w:t xml:space="preserve"> will </w:t>
      </w:r>
      <w:r w:rsidR="00DD4FD6">
        <w:rPr>
          <w:rFonts w:ascii="Times New Roman" w:hAnsi="Times New Roman" w:cs="Times New Roman"/>
          <w:sz w:val="24"/>
          <w:szCs w:val="24"/>
          <w:lang w:val="en-CA"/>
        </w:rPr>
        <w:t xml:space="preserve">generally </w:t>
      </w:r>
      <w:r w:rsidR="00CB188D" w:rsidRPr="00AD2E70">
        <w:rPr>
          <w:rFonts w:ascii="Times New Roman" w:hAnsi="Times New Roman" w:cs="Times New Roman"/>
          <w:sz w:val="24"/>
          <w:szCs w:val="24"/>
          <w:lang w:val="en-CA"/>
        </w:rPr>
        <w:t>uphold personal guarantees, whether the guarantees are for $50,000 or $5,000,000</w:t>
      </w:r>
      <w:r w:rsidR="00DD4FD6">
        <w:rPr>
          <w:rFonts w:ascii="Times New Roman" w:hAnsi="Times New Roman" w:cs="Times New Roman"/>
          <w:sz w:val="24"/>
          <w:szCs w:val="24"/>
          <w:lang w:val="en-CA"/>
        </w:rPr>
        <w:t>, on a summary basis</w:t>
      </w:r>
      <w:r w:rsidR="00CB188D" w:rsidRPr="00AD2E70">
        <w:rPr>
          <w:rFonts w:ascii="Times New Roman" w:hAnsi="Times New Roman" w:cs="Times New Roman"/>
          <w:sz w:val="24"/>
          <w:szCs w:val="24"/>
          <w:lang w:val="en-CA"/>
        </w:rPr>
        <w:t xml:space="preserve">. </w:t>
      </w:r>
      <w:r w:rsidR="00DD4FD6">
        <w:rPr>
          <w:rFonts w:ascii="Times New Roman" w:hAnsi="Times New Roman" w:cs="Times New Roman"/>
          <w:sz w:val="24"/>
          <w:szCs w:val="24"/>
          <w:lang w:val="en-CA"/>
        </w:rPr>
        <w:t>In considering such applications, t</w:t>
      </w:r>
      <w:r w:rsidR="00CB188D" w:rsidRPr="00AD2E70">
        <w:rPr>
          <w:rFonts w:ascii="Times New Roman" w:hAnsi="Times New Roman" w:cs="Times New Roman"/>
          <w:sz w:val="24"/>
          <w:szCs w:val="24"/>
          <w:lang w:val="en-CA"/>
        </w:rPr>
        <w:t>he Court</w:t>
      </w:r>
      <w:r w:rsidR="0062252F" w:rsidRPr="00AD2E70">
        <w:rPr>
          <w:rFonts w:ascii="Times New Roman" w:hAnsi="Times New Roman" w:cs="Times New Roman"/>
          <w:sz w:val="24"/>
          <w:szCs w:val="24"/>
          <w:lang w:val="en-CA"/>
        </w:rPr>
        <w:t xml:space="preserve"> </w:t>
      </w:r>
      <w:r w:rsidR="00DD4FD6">
        <w:rPr>
          <w:rFonts w:ascii="Times New Roman" w:hAnsi="Times New Roman" w:cs="Times New Roman"/>
          <w:sz w:val="24"/>
          <w:szCs w:val="24"/>
          <w:lang w:val="en-CA"/>
        </w:rPr>
        <w:t xml:space="preserve">will </w:t>
      </w:r>
      <w:r w:rsidR="0062252F" w:rsidRPr="00AD2E70">
        <w:rPr>
          <w:rFonts w:ascii="Times New Roman" w:hAnsi="Times New Roman" w:cs="Times New Roman"/>
          <w:sz w:val="24"/>
          <w:szCs w:val="24"/>
          <w:lang w:val="en-CA"/>
        </w:rPr>
        <w:t xml:space="preserve">look to three main </w:t>
      </w:r>
      <w:r w:rsidR="00750281" w:rsidRPr="00AD2E70">
        <w:rPr>
          <w:rFonts w:ascii="Times New Roman" w:hAnsi="Times New Roman" w:cs="Times New Roman"/>
          <w:sz w:val="24"/>
          <w:szCs w:val="24"/>
          <w:lang w:val="en-CA"/>
        </w:rPr>
        <w:t>factors:</w:t>
      </w:r>
      <w:r w:rsidR="009C7DB7" w:rsidRPr="00AD2E70">
        <w:rPr>
          <w:rFonts w:ascii="Times New Roman" w:hAnsi="Times New Roman" w:cs="Times New Roman"/>
          <w:sz w:val="24"/>
          <w:szCs w:val="24"/>
          <w:lang w:val="en-CA"/>
        </w:rPr>
        <w:t xml:space="preserve"> if the language of the guarantee is clear</w:t>
      </w:r>
      <w:r w:rsidR="00F96DB5">
        <w:rPr>
          <w:rFonts w:ascii="Times New Roman" w:hAnsi="Times New Roman" w:cs="Times New Roman"/>
          <w:sz w:val="24"/>
          <w:szCs w:val="24"/>
          <w:lang w:val="en-CA"/>
        </w:rPr>
        <w:t xml:space="preserve"> and unambiguous</w:t>
      </w:r>
      <w:r w:rsidR="009C7DB7" w:rsidRPr="00AD2E70">
        <w:rPr>
          <w:rFonts w:ascii="Times New Roman" w:hAnsi="Times New Roman" w:cs="Times New Roman"/>
          <w:sz w:val="24"/>
          <w:szCs w:val="24"/>
          <w:lang w:val="en-CA"/>
        </w:rPr>
        <w:t xml:space="preserve">, if </w:t>
      </w:r>
      <w:r w:rsidR="00044FAC" w:rsidRPr="00AD2E70">
        <w:rPr>
          <w:rFonts w:ascii="Times New Roman" w:hAnsi="Times New Roman" w:cs="Times New Roman"/>
          <w:sz w:val="24"/>
          <w:szCs w:val="24"/>
          <w:lang w:val="en-CA"/>
        </w:rPr>
        <w:t>the</w:t>
      </w:r>
      <w:r w:rsidR="009C7DB7" w:rsidRPr="00AD2E70">
        <w:rPr>
          <w:rFonts w:ascii="Times New Roman" w:hAnsi="Times New Roman" w:cs="Times New Roman"/>
          <w:sz w:val="24"/>
          <w:szCs w:val="24"/>
          <w:lang w:val="en-CA"/>
        </w:rPr>
        <w:t xml:space="preserve"> </w:t>
      </w:r>
      <w:r w:rsidR="00F96DB5">
        <w:rPr>
          <w:rFonts w:ascii="Times New Roman" w:hAnsi="Times New Roman" w:cs="Times New Roman"/>
          <w:sz w:val="24"/>
          <w:szCs w:val="24"/>
          <w:lang w:val="en-CA"/>
        </w:rPr>
        <w:t>guarantors fail to put their best evidentiary foot forward</w:t>
      </w:r>
      <w:r w:rsidR="009C7DB7" w:rsidRPr="00AD2E70">
        <w:rPr>
          <w:rFonts w:ascii="Times New Roman" w:hAnsi="Times New Roman" w:cs="Times New Roman"/>
          <w:sz w:val="24"/>
          <w:szCs w:val="24"/>
          <w:lang w:val="en-CA"/>
        </w:rPr>
        <w:t xml:space="preserve"> and if the education and commercial sophistication of the guarantor is established, the Court will uph</w:t>
      </w:r>
      <w:r w:rsidR="00E54CD4" w:rsidRPr="00AD2E70">
        <w:rPr>
          <w:rFonts w:ascii="Times New Roman" w:hAnsi="Times New Roman" w:cs="Times New Roman"/>
          <w:sz w:val="24"/>
          <w:szCs w:val="24"/>
          <w:lang w:val="en-CA"/>
        </w:rPr>
        <w:t>o</w:t>
      </w:r>
      <w:r w:rsidR="009C7DB7" w:rsidRPr="00AD2E70">
        <w:rPr>
          <w:rFonts w:ascii="Times New Roman" w:hAnsi="Times New Roman" w:cs="Times New Roman"/>
          <w:sz w:val="24"/>
          <w:szCs w:val="24"/>
          <w:lang w:val="en-CA"/>
        </w:rPr>
        <w:t>ld the personal guara</w:t>
      </w:r>
      <w:r w:rsidR="00750281" w:rsidRPr="00AD2E70">
        <w:rPr>
          <w:rFonts w:ascii="Times New Roman" w:hAnsi="Times New Roman" w:cs="Times New Roman"/>
          <w:sz w:val="24"/>
          <w:szCs w:val="24"/>
          <w:lang w:val="en-CA"/>
        </w:rPr>
        <w:t>ntee with little to no leniency</w:t>
      </w:r>
      <w:r w:rsidR="00E54CD4" w:rsidRPr="00AD2E70">
        <w:rPr>
          <w:rFonts w:ascii="Times New Roman" w:hAnsi="Times New Roman" w:cs="Times New Roman"/>
          <w:sz w:val="24"/>
          <w:szCs w:val="24"/>
          <w:lang w:val="en-CA"/>
        </w:rPr>
        <w:t>.</w:t>
      </w:r>
    </w:p>
    <w:p w14:paraId="428A9753" w14:textId="590443CF" w:rsidR="006A0E84" w:rsidRPr="00AD2E70" w:rsidRDefault="00750281" w:rsidP="00AD2E70">
      <w:pPr>
        <w:jc w:val="both"/>
        <w:rPr>
          <w:rFonts w:ascii="Times New Roman" w:hAnsi="Times New Roman" w:cs="Times New Roman"/>
          <w:sz w:val="24"/>
          <w:szCs w:val="24"/>
          <w:lang w:val="en-CA"/>
        </w:rPr>
      </w:pPr>
      <w:r w:rsidRPr="00AD2E70">
        <w:rPr>
          <w:rFonts w:ascii="Times New Roman" w:hAnsi="Times New Roman" w:cs="Times New Roman"/>
          <w:sz w:val="24"/>
          <w:szCs w:val="24"/>
          <w:lang w:val="en-CA"/>
        </w:rPr>
        <w:t xml:space="preserve">The </w:t>
      </w:r>
      <w:r w:rsidR="003B4BF8" w:rsidRPr="00AD2E70">
        <w:rPr>
          <w:rFonts w:ascii="Times New Roman" w:hAnsi="Times New Roman" w:cs="Times New Roman"/>
          <w:sz w:val="24"/>
          <w:szCs w:val="24"/>
          <w:lang w:val="en-CA"/>
        </w:rPr>
        <w:t>first</w:t>
      </w:r>
      <w:r w:rsidR="00C172C0" w:rsidRPr="00AD2E70">
        <w:rPr>
          <w:rFonts w:ascii="Times New Roman" w:hAnsi="Times New Roman" w:cs="Times New Roman"/>
          <w:sz w:val="24"/>
          <w:szCs w:val="24"/>
          <w:lang w:val="en-CA"/>
        </w:rPr>
        <w:t xml:space="preserve"> </w:t>
      </w:r>
      <w:r w:rsidR="003B4BF8" w:rsidRPr="00AD2E70">
        <w:rPr>
          <w:rFonts w:ascii="Times New Roman" w:hAnsi="Times New Roman" w:cs="Times New Roman"/>
          <w:sz w:val="24"/>
          <w:szCs w:val="24"/>
          <w:lang w:val="en-CA"/>
        </w:rPr>
        <w:t>and arguably most straightforward</w:t>
      </w:r>
      <w:r w:rsidRPr="00AD2E70">
        <w:rPr>
          <w:rFonts w:ascii="Times New Roman" w:hAnsi="Times New Roman" w:cs="Times New Roman"/>
          <w:sz w:val="24"/>
          <w:szCs w:val="24"/>
          <w:lang w:val="en-CA"/>
        </w:rPr>
        <w:t xml:space="preserve"> factor </w:t>
      </w:r>
      <w:r w:rsidR="0030105D">
        <w:rPr>
          <w:rFonts w:ascii="Times New Roman" w:hAnsi="Times New Roman" w:cs="Times New Roman"/>
          <w:sz w:val="24"/>
          <w:szCs w:val="24"/>
          <w:lang w:val="en-CA"/>
        </w:rPr>
        <w:t>the</w:t>
      </w:r>
      <w:r w:rsidRPr="00AD2E70">
        <w:rPr>
          <w:rFonts w:ascii="Times New Roman" w:hAnsi="Times New Roman" w:cs="Times New Roman"/>
          <w:sz w:val="24"/>
          <w:szCs w:val="24"/>
          <w:lang w:val="en-CA"/>
        </w:rPr>
        <w:t xml:space="preserve"> </w:t>
      </w:r>
      <w:r w:rsidR="0030105D">
        <w:rPr>
          <w:rFonts w:ascii="Times New Roman" w:hAnsi="Times New Roman" w:cs="Times New Roman"/>
          <w:sz w:val="24"/>
          <w:szCs w:val="24"/>
          <w:lang w:val="en-CA"/>
        </w:rPr>
        <w:t>C</w:t>
      </w:r>
      <w:r w:rsidRPr="00AD2E70">
        <w:rPr>
          <w:rFonts w:ascii="Times New Roman" w:hAnsi="Times New Roman" w:cs="Times New Roman"/>
          <w:sz w:val="24"/>
          <w:szCs w:val="24"/>
          <w:lang w:val="en-CA"/>
        </w:rPr>
        <w:t>ourt will look to is the language</w:t>
      </w:r>
      <w:r w:rsidR="003B4BF8" w:rsidRPr="00AD2E70">
        <w:rPr>
          <w:rFonts w:ascii="Times New Roman" w:hAnsi="Times New Roman" w:cs="Times New Roman"/>
          <w:sz w:val="24"/>
          <w:szCs w:val="24"/>
          <w:lang w:val="en-CA"/>
        </w:rPr>
        <w:t xml:space="preserve"> of</w:t>
      </w:r>
      <w:r w:rsidRPr="00AD2E70">
        <w:rPr>
          <w:rFonts w:ascii="Times New Roman" w:hAnsi="Times New Roman" w:cs="Times New Roman"/>
          <w:sz w:val="24"/>
          <w:szCs w:val="24"/>
          <w:lang w:val="en-CA"/>
        </w:rPr>
        <w:t xml:space="preserve"> the guarantee.</w:t>
      </w:r>
      <w:r w:rsidR="003B4BF8" w:rsidRPr="00AD2E70">
        <w:rPr>
          <w:rFonts w:ascii="Times New Roman" w:hAnsi="Times New Roman" w:cs="Times New Roman"/>
          <w:sz w:val="24"/>
          <w:szCs w:val="24"/>
          <w:lang w:val="en-CA"/>
        </w:rPr>
        <w:t xml:space="preserve"> </w:t>
      </w:r>
      <w:r w:rsidR="0012099B" w:rsidRPr="00AD2E70">
        <w:rPr>
          <w:rFonts w:ascii="Times New Roman" w:hAnsi="Times New Roman" w:cs="Times New Roman"/>
          <w:sz w:val="24"/>
          <w:szCs w:val="24"/>
          <w:lang w:val="en-CA"/>
        </w:rPr>
        <w:t xml:space="preserve">Rooted in the practice </w:t>
      </w:r>
      <w:r w:rsidR="003B4BF8" w:rsidRPr="00AD2E70">
        <w:rPr>
          <w:rFonts w:ascii="Times New Roman" w:hAnsi="Times New Roman" w:cs="Times New Roman"/>
          <w:sz w:val="24"/>
          <w:szCs w:val="24"/>
          <w:lang w:val="en-CA"/>
        </w:rPr>
        <w:t>of contractual interpretation, a court will review the actual wording of the guarantee</w:t>
      </w:r>
      <w:r w:rsidR="00992C0B" w:rsidRPr="00AD2E70">
        <w:rPr>
          <w:rFonts w:ascii="Times New Roman" w:hAnsi="Times New Roman" w:cs="Times New Roman"/>
          <w:sz w:val="24"/>
          <w:szCs w:val="24"/>
          <w:lang w:val="en-CA"/>
        </w:rPr>
        <w:t xml:space="preserve"> when determining </w:t>
      </w:r>
      <w:r w:rsidR="00526E88" w:rsidRPr="00AD2E70">
        <w:rPr>
          <w:rFonts w:ascii="Times New Roman" w:hAnsi="Times New Roman" w:cs="Times New Roman"/>
          <w:sz w:val="24"/>
          <w:szCs w:val="24"/>
          <w:lang w:val="en-CA"/>
        </w:rPr>
        <w:t>its</w:t>
      </w:r>
      <w:r w:rsidR="00992C0B" w:rsidRPr="00AD2E70">
        <w:rPr>
          <w:rFonts w:ascii="Times New Roman" w:hAnsi="Times New Roman" w:cs="Times New Roman"/>
          <w:sz w:val="24"/>
          <w:szCs w:val="24"/>
          <w:lang w:val="en-CA"/>
        </w:rPr>
        <w:t xml:space="preserve"> validity</w:t>
      </w:r>
      <w:r w:rsidR="003B4BF8" w:rsidRPr="00AD2E70">
        <w:rPr>
          <w:rFonts w:ascii="Times New Roman" w:hAnsi="Times New Roman" w:cs="Times New Roman"/>
          <w:sz w:val="24"/>
          <w:szCs w:val="24"/>
          <w:lang w:val="en-CA"/>
        </w:rPr>
        <w:t>.</w:t>
      </w:r>
      <w:r w:rsidR="005E7CBC" w:rsidRPr="00AD2E70">
        <w:rPr>
          <w:rFonts w:ascii="Times New Roman" w:hAnsi="Times New Roman" w:cs="Times New Roman"/>
          <w:sz w:val="24"/>
          <w:szCs w:val="24"/>
          <w:lang w:val="en-CA"/>
        </w:rPr>
        <w:t xml:space="preserve"> </w:t>
      </w:r>
      <w:r w:rsidR="009810E4" w:rsidRPr="00AD2E70">
        <w:rPr>
          <w:rFonts w:ascii="Times New Roman" w:hAnsi="Times New Roman" w:cs="Times New Roman"/>
          <w:sz w:val="24"/>
          <w:szCs w:val="24"/>
          <w:lang w:val="en-CA"/>
        </w:rPr>
        <w:t>Courts will find a guarantee</w:t>
      </w:r>
      <w:r w:rsidR="00C172C0" w:rsidRPr="00AD2E70">
        <w:rPr>
          <w:rFonts w:ascii="Times New Roman" w:hAnsi="Times New Roman" w:cs="Times New Roman"/>
          <w:sz w:val="24"/>
          <w:szCs w:val="24"/>
          <w:lang w:val="en-CA"/>
        </w:rPr>
        <w:t xml:space="preserve"> to be valid if it</w:t>
      </w:r>
      <w:r w:rsidR="009810E4" w:rsidRPr="00AD2E70">
        <w:rPr>
          <w:rFonts w:ascii="Times New Roman" w:hAnsi="Times New Roman" w:cs="Times New Roman"/>
          <w:sz w:val="24"/>
          <w:szCs w:val="24"/>
          <w:lang w:val="en-CA"/>
        </w:rPr>
        <w:t xml:space="preserve"> </w:t>
      </w:r>
      <w:r w:rsidR="00C172C0" w:rsidRPr="00AD2E70">
        <w:rPr>
          <w:rFonts w:ascii="Times New Roman" w:hAnsi="Times New Roman" w:cs="Times New Roman"/>
          <w:sz w:val="24"/>
          <w:szCs w:val="24"/>
          <w:lang w:val="en-CA"/>
        </w:rPr>
        <w:t>is</w:t>
      </w:r>
      <w:r w:rsidR="009810E4" w:rsidRPr="00AD2E70">
        <w:rPr>
          <w:rFonts w:ascii="Times New Roman" w:hAnsi="Times New Roman" w:cs="Times New Roman"/>
          <w:sz w:val="24"/>
          <w:szCs w:val="24"/>
          <w:lang w:val="en-CA"/>
        </w:rPr>
        <w:t xml:space="preserve"> “clear and concise”</w:t>
      </w:r>
      <w:r w:rsidR="006E02DC">
        <w:rPr>
          <w:rFonts w:ascii="Times New Roman" w:hAnsi="Times New Roman" w:cs="Times New Roman"/>
          <w:sz w:val="24"/>
          <w:szCs w:val="24"/>
          <w:lang w:val="en-CA"/>
        </w:rPr>
        <w:t>,</w:t>
      </w:r>
      <w:r w:rsidR="00C172C0" w:rsidRPr="00AD2E70">
        <w:rPr>
          <w:rStyle w:val="FootnoteReference"/>
          <w:rFonts w:ascii="Times New Roman" w:hAnsi="Times New Roman" w:cs="Times New Roman"/>
          <w:sz w:val="24"/>
          <w:szCs w:val="24"/>
          <w:lang w:val="en-CA"/>
        </w:rPr>
        <w:footnoteReference w:id="2"/>
      </w:r>
      <w:r w:rsidR="00DD4FD6">
        <w:rPr>
          <w:rFonts w:ascii="Times New Roman" w:hAnsi="Times New Roman" w:cs="Times New Roman"/>
          <w:sz w:val="24"/>
          <w:szCs w:val="24"/>
          <w:lang w:val="en-CA"/>
        </w:rPr>
        <w:t xml:space="preserve"> if </w:t>
      </w:r>
      <w:r w:rsidR="009810E4" w:rsidRPr="00AD2E70">
        <w:rPr>
          <w:rFonts w:ascii="Times New Roman" w:hAnsi="Times New Roman" w:cs="Times New Roman"/>
          <w:sz w:val="24"/>
          <w:szCs w:val="24"/>
          <w:lang w:val="en-CA"/>
        </w:rPr>
        <w:t>the “language of the guarantee was clear”</w:t>
      </w:r>
      <w:r w:rsidR="00484C1E" w:rsidRPr="00AD2E70">
        <w:rPr>
          <w:rStyle w:val="FootnoteReference"/>
          <w:rFonts w:ascii="Times New Roman" w:hAnsi="Times New Roman" w:cs="Times New Roman"/>
          <w:sz w:val="24"/>
          <w:szCs w:val="24"/>
          <w:lang w:val="en-CA"/>
        </w:rPr>
        <w:footnoteReference w:id="3"/>
      </w:r>
      <w:r w:rsidR="00C172C0" w:rsidRPr="00AD2E70">
        <w:rPr>
          <w:rFonts w:ascii="Times New Roman" w:hAnsi="Times New Roman" w:cs="Times New Roman"/>
          <w:sz w:val="24"/>
          <w:szCs w:val="24"/>
          <w:lang w:val="en-CA"/>
        </w:rPr>
        <w:t xml:space="preserve"> or </w:t>
      </w:r>
      <w:r w:rsidR="00DD4FD6">
        <w:rPr>
          <w:rFonts w:ascii="Times New Roman" w:hAnsi="Times New Roman" w:cs="Times New Roman"/>
          <w:sz w:val="24"/>
          <w:szCs w:val="24"/>
          <w:lang w:val="en-CA"/>
        </w:rPr>
        <w:t xml:space="preserve">if </w:t>
      </w:r>
      <w:r w:rsidR="00C172C0" w:rsidRPr="00AD2E70">
        <w:rPr>
          <w:rFonts w:ascii="Times New Roman" w:hAnsi="Times New Roman" w:cs="Times New Roman"/>
          <w:sz w:val="24"/>
          <w:szCs w:val="24"/>
          <w:lang w:val="en-CA"/>
        </w:rPr>
        <w:t>the language of the guarantee was</w:t>
      </w:r>
      <w:r w:rsidR="009810E4" w:rsidRPr="00AD2E70">
        <w:rPr>
          <w:rFonts w:ascii="Times New Roman" w:hAnsi="Times New Roman" w:cs="Times New Roman"/>
          <w:sz w:val="24"/>
          <w:szCs w:val="24"/>
          <w:lang w:val="en-CA"/>
        </w:rPr>
        <w:t xml:space="preserve"> “clear and unambiguous”</w:t>
      </w:r>
      <w:r w:rsidR="006E02DC">
        <w:rPr>
          <w:rFonts w:ascii="Times New Roman" w:hAnsi="Times New Roman" w:cs="Times New Roman"/>
          <w:sz w:val="24"/>
          <w:szCs w:val="24"/>
          <w:lang w:val="en-CA"/>
        </w:rPr>
        <w:t>.</w:t>
      </w:r>
      <w:r w:rsidR="00484C1E" w:rsidRPr="00AD2E70">
        <w:rPr>
          <w:rStyle w:val="FootnoteReference"/>
          <w:rFonts w:ascii="Times New Roman" w:hAnsi="Times New Roman" w:cs="Times New Roman"/>
          <w:sz w:val="24"/>
          <w:szCs w:val="24"/>
          <w:lang w:val="en-CA"/>
        </w:rPr>
        <w:footnoteReference w:id="4"/>
      </w:r>
      <w:r w:rsidR="009810E4" w:rsidRPr="00AD2E70">
        <w:rPr>
          <w:rFonts w:ascii="Times New Roman" w:hAnsi="Times New Roman" w:cs="Times New Roman"/>
          <w:sz w:val="24"/>
          <w:szCs w:val="24"/>
          <w:lang w:val="en-CA"/>
        </w:rPr>
        <w:t xml:space="preserve"> </w:t>
      </w:r>
      <w:r w:rsidR="00760C8D">
        <w:rPr>
          <w:rFonts w:ascii="Times New Roman" w:hAnsi="Times New Roman" w:cs="Times New Roman"/>
          <w:sz w:val="24"/>
          <w:szCs w:val="24"/>
          <w:lang w:val="en-CA"/>
        </w:rPr>
        <w:t xml:space="preserve">In </w:t>
      </w:r>
      <w:r w:rsidR="00760C8D" w:rsidRPr="00EF63B6">
        <w:rPr>
          <w:rFonts w:ascii="Times New Roman" w:hAnsi="Times New Roman" w:cs="Times New Roman"/>
          <w:i/>
          <w:iCs/>
          <w:sz w:val="24"/>
          <w:szCs w:val="24"/>
          <w:lang w:val="en-CA"/>
        </w:rPr>
        <w:t>ATB Financial v. Coredent Partnership</w:t>
      </w:r>
      <w:r w:rsidR="00760C8D">
        <w:rPr>
          <w:rFonts w:ascii="Times New Roman" w:hAnsi="Times New Roman" w:cs="Times New Roman"/>
          <w:sz w:val="24"/>
          <w:szCs w:val="24"/>
          <w:lang w:val="en-CA"/>
        </w:rPr>
        <w:t>,</w:t>
      </w:r>
      <w:r w:rsidR="00760C8D">
        <w:rPr>
          <w:rStyle w:val="FootnoteReference"/>
          <w:rFonts w:ascii="Times New Roman" w:hAnsi="Times New Roman" w:cs="Times New Roman"/>
          <w:sz w:val="24"/>
          <w:szCs w:val="24"/>
          <w:lang w:val="en-CA"/>
        </w:rPr>
        <w:footnoteReference w:id="5"/>
      </w:r>
      <w:r w:rsidR="00760C8D">
        <w:rPr>
          <w:rFonts w:ascii="Times New Roman" w:hAnsi="Times New Roman" w:cs="Times New Roman"/>
          <w:sz w:val="24"/>
          <w:szCs w:val="24"/>
          <w:lang w:val="en-CA"/>
        </w:rPr>
        <w:t xml:space="preserve"> the Alberta Court of Queen’s Bench </w:t>
      </w:r>
      <w:r w:rsidR="00DD4FD6">
        <w:rPr>
          <w:rFonts w:ascii="Times New Roman" w:hAnsi="Times New Roman" w:cs="Times New Roman"/>
          <w:sz w:val="24"/>
          <w:szCs w:val="24"/>
          <w:lang w:val="en-CA"/>
        </w:rPr>
        <w:t>considered</w:t>
      </w:r>
      <w:r w:rsidR="00760C8D">
        <w:rPr>
          <w:rFonts w:ascii="Times New Roman" w:hAnsi="Times New Roman" w:cs="Times New Roman"/>
          <w:sz w:val="24"/>
          <w:szCs w:val="24"/>
          <w:lang w:val="en-CA"/>
        </w:rPr>
        <w:t xml:space="preserve"> the validity of a personal guarantee of $5,400,000. The Court ultimately found that the language of the guarantee was not only clear and unambiguous, but the terms of the guarantee were a complete answer to any defences raised by the guarantor. </w:t>
      </w:r>
      <w:r w:rsidR="004E1E11">
        <w:rPr>
          <w:rFonts w:ascii="Times New Roman" w:hAnsi="Times New Roman" w:cs="Times New Roman"/>
          <w:sz w:val="24"/>
          <w:szCs w:val="24"/>
          <w:lang w:val="en-CA"/>
        </w:rPr>
        <w:t>T</w:t>
      </w:r>
      <w:r w:rsidR="0030105D">
        <w:rPr>
          <w:rFonts w:ascii="Times New Roman" w:hAnsi="Times New Roman" w:cs="Times New Roman"/>
          <w:sz w:val="24"/>
          <w:szCs w:val="24"/>
          <w:lang w:val="en-CA"/>
        </w:rPr>
        <w:t>he language</w:t>
      </w:r>
      <w:r w:rsidR="00760C8D">
        <w:rPr>
          <w:rFonts w:ascii="Times New Roman" w:hAnsi="Times New Roman" w:cs="Times New Roman"/>
          <w:sz w:val="24"/>
          <w:szCs w:val="24"/>
          <w:lang w:val="en-CA"/>
        </w:rPr>
        <w:t xml:space="preserve"> </w:t>
      </w:r>
      <w:r w:rsidR="004E1E11">
        <w:rPr>
          <w:rFonts w:ascii="Times New Roman" w:hAnsi="Times New Roman" w:cs="Times New Roman"/>
          <w:sz w:val="24"/>
          <w:szCs w:val="24"/>
          <w:lang w:val="en-CA"/>
        </w:rPr>
        <w:t xml:space="preserve">of the guarantee </w:t>
      </w:r>
      <w:r w:rsidR="00760C8D">
        <w:rPr>
          <w:rFonts w:ascii="Times New Roman" w:hAnsi="Times New Roman" w:cs="Times New Roman"/>
          <w:sz w:val="24"/>
          <w:szCs w:val="24"/>
          <w:lang w:val="en-CA"/>
        </w:rPr>
        <w:t xml:space="preserve">was so concise and so powerful, the defences raised </w:t>
      </w:r>
      <w:r w:rsidR="0030105D">
        <w:rPr>
          <w:rFonts w:ascii="Times New Roman" w:hAnsi="Times New Roman" w:cs="Times New Roman"/>
          <w:sz w:val="24"/>
          <w:szCs w:val="24"/>
          <w:lang w:val="en-CA"/>
        </w:rPr>
        <w:t>were dismissed</w:t>
      </w:r>
      <w:r w:rsidR="004E1E11">
        <w:rPr>
          <w:rFonts w:ascii="Times New Roman" w:hAnsi="Times New Roman" w:cs="Times New Roman"/>
          <w:sz w:val="24"/>
          <w:szCs w:val="24"/>
          <w:lang w:val="en-CA"/>
        </w:rPr>
        <w:t>,</w:t>
      </w:r>
      <w:r w:rsidR="0030105D">
        <w:rPr>
          <w:rFonts w:ascii="Times New Roman" w:hAnsi="Times New Roman" w:cs="Times New Roman"/>
          <w:sz w:val="24"/>
          <w:szCs w:val="24"/>
          <w:lang w:val="en-CA"/>
        </w:rPr>
        <w:t xml:space="preserve"> not by the Court</w:t>
      </w:r>
      <w:r w:rsidR="004E1E11">
        <w:rPr>
          <w:rFonts w:ascii="Times New Roman" w:hAnsi="Times New Roman" w:cs="Times New Roman"/>
          <w:sz w:val="24"/>
          <w:szCs w:val="24"/>
          <w:lang w:val="en-CA"/>
        </w:rPr>
        <w:t>,</w:t>
      </w:r>
      <w:r w:rsidR="0030105D">
        <w:rPr>
          <w:rFonts w:ascii="Times New Roman" w:hAnsi="Times New Roman" w:cs="Times New Roman"/>
          <w:sz w:val="24"/>
          <w:szCs w:val="24"/>
          <w:lang w:val="en-CA"/>
        </w:rPr>
        <w:t xml:space="preserve"> but by the guarantee itself.</w:t>
      </w:r>
      <w:r w:rsidR="00760C8D" w:rsidRPr="00760C8D">
        <w:rPr>
          <w:rFonts w:ascii="Times New Roman" w:hAnsi="Times New Roman" w:cs="Times New Roman"/>
          <w:sz w:val="24"/>
          <w:szCs w:val="24"/>
          <w:lang w:val="en-CA"/>
        </w:rPr>
        <w:t xml:space="preserve"> </w:t>
      </w:r>
      <w:r w:rsidR="009810E4" w:rsidRPr="00AD2E70">
        <w:rPr>
          <w:rFonts w:ascii="Times New Roman" w:hAnsi="Times New Roman" w:cs="Times New Roman"/>
          <w:sz w:val="24"/>
          <w:szCs w:val="24"/>
          <w:lang w:val="en-CA"/>
        </w:rPr>
        <w:t xml:space="preserve">The </w:t>
      </w:r>
      <w:r w:rsidR="00CB188D" w:rsidRPr="00AD2E70">
        <w:rPr>
          <w:rFonts w:ascii="Times New Roman" w:hAnsi="Times New Roman" w:cs="Times New Roman"/>
          <w:sz w:val="24"/>
          <w:szCs w:val="24"/>
          <w:lang w:val="en-CA"/>
        </w:rPr>
        <w:t>C</w:t>
      </w:r>
      <w:r w:rsidR="009810E4" w:rsidRPr="00AD2E70">
        <w:rPr>
          <w:rFonts w:ascii="Times New Roman" w:hAnsi="Times New Roman" w:cs="Times New Roman"/>
          <w:sz w:val="24"/>
          <w:szCs w:val="24"/>
          <w:lang w:val="en-CA"/>
        </w:rPr>
        <w:t xml:space="preserve">ourts will also determine what </w:t>
      </w:r>
      <w:r w:rsidR="009810E4" w:rsidRPr="00AD2E70">
        <w:rPr>
          <w:rFonts w:ascii="Times New Roman" w:hAnsi="Times New Roman" w:cs="Times New Roman"/>
          <w:i/>
          <w:iCs/>
          <w:sz w:val="24"/>
          <w:szCs w:val="24"/>
          <w:lang w:val="en-CA"/>
        </w:rPr>
        <w:t>isn’t</w:t>
      </w:r>
      <w:r w:rsidR="009810E4" w:rsidRPr="00AD2E70">
        <w:rPr>
          <w:rFonts w:ascii="Times New Roman" w:hAnsi="Times New Roman" w:cs="Times New Roman"/>
          <w:sz w:val="24"/>
          <w:szCs w:val="24"/>
          <w:lang w:val="en-CA"/>
        </w:rPr>
        <w:t xml:space="preserve"> in the guarantees and strictly interpret that exclusion</w:t>
      </w:r>
      <w:r w:rsidR="00E54CD4" w:rsidRPr="00AD2E70">
        <w:rPr>
          <w:rFonts w:ascii="Times New Roman" w:hAnsi="Times New Roman" w:cs="Times New Roman"/>
          <w:sz w:val="24"/>
          <w:szCs w:val="24"/>
          <w:lang w:val="en-CA"/>
        </w:rPr>
        <w:t>. This was done in</w:t>
      </w:r>
      <w:r w:rsidR="009810E4" w:rsidRPr="00AD2E70">
        <w:rPr>
          <w:rFonts w:ascii="Times New Roman" w:hAnsi="Times New Roman" w:cs="Times New Roman"/>
          <w:sz w:val="24"/>
          <w:szCs w:val="24"/>
          <w:lang w:val="en-CA"/>
        </w:rPr>
        <w:t xml:space="preserve"> </w:t>
      </w:r>
      <w:r w:rsidR="00E54CD4" w:rsidRPr="00AD2E70">
        <w:rPr>
          <w:rFonts w:ascii="Times New Roman" w:hAnsi="Times New Roman" w:cs="Times New Roman"/>
          <w:i/>
          <w:iCs/>
          <w:sz w:val="24"/>
          <w:szCs w:val="24"/>
          <w:lang w:val="en-CA"/>
        </w:rPr>
        <w:t>Toronto-Dominion Bank v. Konga</w:t>
      </w:r>
      <w:r w:rsidR="009810E4" w:rsidRPr="00AD2E70">
        <w:rPr>
          <w:rFonts w:ascii="Times New Roman" w:hAnsi="Times New Roman" w:cs="Times New Roman"/>
          <w:sz w:val="24"/>
          <w:szCs w:val="24"/>
          <w:lang w:val="en-CA"/>
        </w:rPr>
        <w:t>.</w:t>
      </w:r>
      <w:r w:rsidR="00E54CD4" w:rsidRPr="00AD2E70">
        <w:rPr>
          <w:rStyle w:val="FootnoteReference"/>
          <w:rFonts w:ascii="Times New Roman" w:hAnsi="Times New Roman" w:cs="Times New Roman"/>
          <w:sz w:val="24"/>
          <w:szCs w:val="24"/>
          <w:lang w:val="en-CA"/>
        </w:rPr>
        <w:footnoteReference w:id="6"/>
      </w:r>
      <w:r w:rsidR="009810E4" w:rsidRPr="00AD2E70">
        <w:rPr>
          <w:rFonts w:ascii="Times New Roman" w:hAnsi="Times New Roman" w:cs="Times New Roman"/>
          <w:sz w:val="24"/>
          <w:szCs w:val="24"/>
          <w:lang w:val="en-CA"/>
        </w:rPr>
        <w:t xml:space="preserve"> Here,</w:t>
      </w:r>
      <w:r w:rsidR="003B4BF8" w:rsidRPr="00AD2E70">
        <w:rPr>
          <w:rFonts w:ascii="Times New Roman" w:hAnsi="Times New Roman" w:cs="Times New Roman"/>
          <w:sz w:val="24"/>
          <w:szCs w:val="24"/>
          <w:lang w:val="en-CA"/>
        </w:rPr>
        <w:t xml:space="preserve"> </w:t>
      </w:r>
      <w:r w:rsidR="0012099B" w:rsidRPr="00AD2E70">
        <w:rPr>
          <w:rFonts w:ascii="Times New Roman" w:hAnsi="Times New Roman" w:cs="Times New Roman"/>
          <w:sz w:val="24"/>
          <w:szCs w:val="24"/>
          <w:lang w:val="en-CA"/>
        </w:rPr>
        <w:t>the lendor-bank provided a business loan secured by a personal guarantee of $1</w:t>
      </w:r>
      <w:r w:rsidR="005E7CBC" w:rsidRPr="00AD2E70">
        <w:rPr>
          <w:rFonts w:ascii="Times New Roman" w:hAnsi="Times New Roman" w:cs="Times New Roman"/>
          <w:sz w:val="24"/>
          <w:szCs w:val="24"/>
          <w:lang w:val="en-CA"/>
        </w:rPr>
        <w:t>,100,000</w:t>
      </w:r>
      <w:r w:rsidR="0012099B" w:rsidRPr="00AD2E70">
        <w:rPr>
          <w:rFonts w:ascii="Times New Roman" w:hAnsi="Times New Roman" w:cs="Times New Roman"/>
          <w:sz w:val="24"/>
          <w:szCs w:val="24"/>
          <w:lang w:val="en-CA"/>
        </w:rPr>
        <w:t xml:space="preserve">. </w:t>
      </w:r>
      <w:r w:rsidR="005E7CBC" w:rsidRPr="00AD2E70">
        <w:rPr>
          <w:rFonts w:ascii="Times New Roman" w:hAnsi="Times New Roman" w:cs="Times New Roman"/>
          <w:sz w:val="24"/>
          <w:szCs w:val="24"/>
          <w:lang w:val="en-CA"/>
        </w:rPr>
        <w:t>After the debtor defaulted on the loan, t</w:t>
      </w:r>
      <w:r w:rsidR="0012099B" w:rsidRPr="00AD2E70">
        <w:rPr>
          <w:rFonts w:ascii="Times New Roman" w:hAnsi="Times New Roman" w:cs="Times New Roman"/>
          <w:sz w:val="24"/>
          <w:szCs w:val="24"/>
          <w:lang w:val="en-CA"/>
        </w:rPr>
        <w:t>he guarantor argued</w:t>
      </w:r>
      <w:r w:rsidR="00DD4FD6">
        <w:rPr>
          <w:rFonts w:ascii="Times New Roman" w:hAnsi="Times New Roman" w:cs="Times New Roman"/>
          <w:sz w:val="24"/>
          <w:szCs w:val="24"/>
          <w:lang w:val="en-CA"/>
        </w:rPr>
        <w:t xml:space="preserve"> that</w:t>
      </w:r>
      <w:r w:rsidR="0012099B" w:rsidRPr="00AD2E70">
        <w:rPr>
          <w:rFonts w:ascii="Times New Roman" w:hAnsi="Times New Roman" w:cs="Times New Roman"/>
          <w:sz w:val="24"/>
          <w:szCs w:val="24"/>
          <w:lang w:val="en-CA"/>
        </w:rPr>
        <w:t xml:space="preserve"> the </w:t>
      </w:r>
      <w:r w:rsidR="0012099B" w:rsidRPr="00AD2E70">
        <w:rPr>
          <w:rFonts w:ascii="Times New Roman" w:hAnsi="Times New Roman" w:cs="Times New Roman"/>
          <w:sz w:val="24"/>
          <w:szCs w:val="24"/>
          <w:lang w:val="en-CA"/>
        </w:rPr>
        <w:lastRenderedPageBreak/>
        <w:t>lendor-bank had a duty to provide notice to the guarantor</w:t>
      </w:r>
      <w:r w:rsidR="00CB188D" w:rsidRPr="00AD2E70">
        <w:rPr>
          <w:rFonts w:ascii="Times New Roman" w:hAnsi="Times New Roman" w:cs="Times New Roman"/>
          <w:sz w:val="24"/>
          <w:szCs w:val="24"/>
          <w:lang w:val="en-CA"/>
        </w:rPr>
        <w:t xml:space="preserve"> of the debtor</w:t>
      </w:r>
      <w:r w:rsidR="0030105D">
        <w:rPr>
          <w:rFonts w:ascii="Times New Roman" w:hAnsi="Times New Roman" w:cs="Times New Roman"/>
          <w:sz w:val="24"/>
          <w:szCs w:val="24"/>
          <w:lang w:val="en-CA"/>
        </w:rPr>
        <w:t>’</w:t>
      </w:r>
      <w:r w:rsidR="00CB188D" w:rsidRPr="00AD2E70">
        <w:rPr>
          <w:rFonts w:ascii="Times New Roman" w:hAnsi="Times New Roman" w:cs="Times New Roman"/>
          <w:sz w:val="24"/>
          <w:szCs w:val="24"/>
          <w:lang w:val="en-CA"/>
        </w:rPr>
        <w:t>s default</w:t>
      </w:r>
      <w:r w:rsidR="0012099B" w:rsidRPr="00AD2E70">
        <w:rPr>
          <w:rFonts w:ascii="Times New Roman" w:hAnsi="Times New Roman" w:cs="Times New Roman"/>
          <w:sz w:val="24"/>
          <w:szCs w:val="24"/>
          <w:lang w:val="en-CA"/>
        </w:rPr>
        <w:t xml:space="preserve">. However, </w:t>
      </w:r>
      <w:r w:rsidR="005E7CBC" w:rsidRPr="00AD2E70">
        <w:rPr>
          <w:rFonts w:ascii="Times New Roman" w:hAnsi="Times New Roman" w:cs="Times New Roman"/>
          <w:sz w:val="24"/>
          <w:szCs w:val="24"/>
          <w:lang w:val="en-CA"/>
        </w:rPr>
        <w:t xml:space="preserve">after the Court reviewed the strict wording of the guarantee, </w:t>
      </w:r>
      <w:r w:rsidR="00DD4FD6">
        <w:rPr>
          <w:rFonts w:ascii="Times New Roman" w:hAnsi="Times New Roman" w:cs="Times New Roman"/>
          <w:sz w:val="24"/>
          <w:szCs w:val="24"/>
          <w:lang w:val="en-CA"/>
        </w:rPr>
        <w:t xml:space="preserve">it concluded that </w:t>
      </w:r>
      <w:r w:rsidR="005E7CBC" w:rsidRPr="00AD2E70">
        <w:rPr>
          <w:rFonts w:ascii="Times New Roman" w:hAnsi="Times New Roman" w:cs="Times New Roman"/>
          <w:sz w:val="24"/>
          <w:szCs w:val="24"/>
          <w:lang w:val="en-CA"/>
        </w:rPr>
        <w:t xml:space="preserve">there was </w:t>
      </w:r>
      <w:r w:rsidR="0012099B" w:rsidRPr="00AD2E70">
        <w:rPr>
          <w:rFonts w:ascii="Times New Roman" w:hAnsi="Times New Roman" w:cs="Times New Roman"/>
          <w:sz w:val="24"/>
          <w:szCs w:val="24"/>
          <w:lang w:val="en-CA"/>
        </w:rPr>
        <w:t xml:space="preserve">no such clause, </w:t>
      </w:r>
      <w:r w:rsidR="00DD4FD6">
        <w:rPr>
          <w:rFonts w:ascii="Times New Roman" w:hAnsi="Times New Roman" w:cs="Times New Roman"/>
          <w:sz w:val="24"/>
          <w:szCs w:val="24"/>
          <w:lang w:val="en-CA"/>
        </w:rPr>
        <w:t xml:space="preserve">nor was there any </w:t>
      </w:r>
      <w:r w:rsidR="0012099B" w:rsidRPr="00AD2E70">
        <w:rPr>
          <w:rFonts w:ascii="Times New Roman" w:hAnsi="Times New Roman" w:cs="Times New Roman"/>
          <w:sz w:val="24"/>
          <w:szCs w:val="24"/>
          <w:lang w:val="en-CA"/>
        </w:rPr>
        <w:t xml:space="preserve">duty or contractual obligation </w:t>
      </w:r>
      <w:r w:rsidR="00DD4FD6">
        <w:rPr>
          <w:rFonts w:ascii="Times New Roman" w:hAnsi="Times New Roman" w:cs="Times New Roman"/>
          <w:sz w:val="24"/>
          <w:szCs w:val="24"/>
          <w:lang w:val="en-CA"/>
        </w:rPr>
        <w:t>requiring the lend</w:t>
      </w:r>
      <w:r w:rsidR="004E1E11">
        <w:rPr>
          <w:rFonts w:ascii="Times New Roman" w:hAnsi="Times New Roman" w:cs="Times New Roman"/>
          <w:sz w:val="24"/>
          <w:szCs w:val="24"/>
          <w:lang w:val="en-CA"/>
        </w:rPr>
        <w:t>o</w:t>
      </w:r>
      <w:r w:rsidR="00DD4FD6">
        <w:rPr>
          <w:rFonts w:ascii="Times New Roman" w:hAnsi="Times New Roman" w:cs="Times New Roman"/>
          <w:sz w:val="24"/>
          <w:szCs w:val="24"/>
          <w:lang w:val="en-CA"/>
        </w:rPr>
        <w:t>r</w:t>
      </w:r>
      <w:r w:rsidR="006E02DC">
        <w:rPr>
          <w:rFonts w:ascii="Times New Roman" w:hAnsi="Times New Roman" w:cs="Times New Roman"/>
          <w:sz w:val="24"/>
          <w:szCs w:val="24"/>
          <w:lang w:val="en-CA"/>
        </w:rPr>
        <w:t xml:space="preserve">-bank </w:t>
      </w:r>
      <w:r w:rsidR="00DD4FD6">
        <w:rPr>
          <w:rFonts w:ascii="Times New Roman" w:hAnsi="Times New Roman" w:cs="Times New Roman"/>
          <w:sz w:val="24"/>
          <w:szCs w:val="24"/>
          <w:lang w:val="en-CA"/>
        </w:rPr>
        <w:t>to</w:t>
      </w:r>
      <w:r w:rsidR="00C172C0" w:rsidRPr="00AD2E70">
        <w:rPr>
          <w:rFonts w:ascii="Times New Roman" w:hAnsi="Times New Roman" w:cs="Times New Roman"/>
          <w:sz w:val="24"/>
          <w:szCs w:val="24"/>
          <w:lang w:val="en-CA"/>
        </w:rPr>
        <w:t xml:space="preserve"> provide notice under </w:t>
      </w:r>
      <w:r w:rsidR="0012099B" w:rsidRPr="00AD2E70">
        <w:rPr>
          <w:rFonts w:ascii="Times New Roman" w:hAnsi="Times New Roman" w:cs="Times New Roman"/>
          <w:sz w:val="24"/>
          <w:szCs w:val="24"/>
          <w:lang w:val="en-CA"/>
        </w:rPr>
        <w:t xml:space="preserve">the guarantee. </w:t>
      </w:r>
    </w:p>
    <w:p w14:paraId="1DB32749" w14:textId="12B1D8A9" w:rsidR="005E7CBC" w:rsidRPr="00AD2E70" w:rsidRDefault="006A0E84" w:rsidP="00AD2E70">
      <w:pPr>
        <w:jc w:val="both"/>
        <w:rPr>
          <w:rFonts w:ascii="Times New Roman" w:hAnsi="Times New Roman" w:cs="Times New Roman"/>
          <w:sz w:val="24"/>
          <w:szCs w:val="24"/>
          <w:lang w:val="en-CA"/>
        </w:rPr>
      </w:pPr>
      <w:r w:rsidRPr="00AD2E70">
        <w:rPr>
          <w:rFonts w:ascii="Times New Roman" w:hAnsi="Times New Roman" w:cs="Times New Roman"/>
          <w:sz w:val="24"/>
          <w:szCs w:val="24"/>
          <w:lang w:val="en-CA"/>
        </w:rPr>
        <w:t xml:space="preserve">The </w:t>
      </w:r>
      <w:r w:rsidR="00484C1E" w:rsidRPr="00AD2E70">
        <w:rPr>
          <w:rFonts w:ascii="Times New Roman" w:hAnsi="Times New Roman" w:cs="Times New Roman"/>
          <w:sz w:val="24"/>
          <w:szCs w:val="24"/>
          <w:lang w:val="en-CA"/>
        </w:rPr>
        <w:t xml:space="preserve">overall intention of the guarantee is </w:t>
      </w:r>
      <w:r w:rsidR="00990006" w:rsidRPr="00AD2E70">
        <w:rPr>
          <w:rFonts w:ascii="Times New Roman" w:hAnsi="Times New Roman" w:cs="Times New Roman"/>
          <w:sz w:val="24"/>
          <w:szCs w:val="24"/>
          <w:lang w:val="en-CA"/>
        </w:rPr>
        <w:t>also relevant t</w:t>
      </w:r>
      <w:r w:rsidRPr="00AD2E70">
        <w:rPr>
          <w:rFonts w:ascii="Times New Roman" w:hAnsi="Times New Roman" w:cs="Times New Roman"/>
          <w:sz w:val="24"/>
          <w:szCs w:val="24"/>
          <w:lang w:val="en-CA"/>
        </w:rPr>
        <w:t>o th</w:t>
      </w:r>
      <w:r w:rsidR="0030105D">
        <w:rPr>
          <w:rFonts w:ascii="Times New Roman" w:hAnsi="Times New Roman" w:cs="Times New Roman"/>
          <w:sz w:val="24"/>
          <w:szCs w:val="24"/>
          <w:lang w:val="en-CA"/>
        </w:rPr>
        <w:t xml:space="preserve">is first factor of </w:t>
      </w:r>
      <w:r w:rsidR="00DD4FD6">
        <w:rPr>
          <w:rFonts w:ascii="Times New Roman" w:hAnsi="Times New Roman" w:cs="Times New Roman"/>
          <w:sz w:val="24"/>
          <w:szCs w:val="24"/>
          <w:lang w:val="en-CA"/>
        </w:rPr>
        <w:t>analysis</w:t>
      </w:r>
      <w:r w:rsidR="004E1E11">
        <w:rPr>
          <w:rFonts w:ascii="Times New Roman" w:hAnsi="Times New Roman" w:cs="Times New Roman"/>
          <w:sz w:val="24"/>
          <w:szCs w:val="24"/>
          <w:lang w:val="en-CA"/>
        </w:rPr>
        <w:t>.</w:t>
      </w:r>
      <w:r w:rsidR="00484C1E" w:rsidRPr="00AD2E70">
        <w:rPr>
          <w:rFonts w:ascii="Times New Roman" w:hAnsi="Times New Roman" w:cs="Times New Roman"/>
          <w:sz w:val="24"/>
          <w:szCs w:val="24"/>
          <w:lang w:val="en-CA"/>
        </w:rPr>
        <w:t xml:space="preserve"> </w:t>
      </w:r>
      <w:r w:rsidR="0012099B" w:rsidRPr="00AD2E70">
        <w:rPr>
          <w:rFonts w:ascii="Times New Roman" w:hAnsi="Times New Roman" w:cs="Times New Roman"/>
          <w:sz w:val="24"/>
          <w:szCs w:val="24"/>
          <w:lang w:val="en-CA"/>
        </w:rPr>
        <w:t xml:space="preserve">In </w:t>
      </w:r>
      <w:r w:rsidR="00E54CD4" w:rsidRPr="00AD2E70">
        <w:rPr>
          <w:rFonts w:ascii="Times New Roman" w:hAnsi="Times New Roman" w:cs="Times New Roman"/>
          <w:i/>
          <w:iCs/>
          <w:sz w:val="24"/>
          <w:szCs w:val="24"/>
          <w:lang w:val="en-CA"/>
        </w:rPr>
        <w:t>Bank of Nova Scotia v. 22 King St. Inc. et al</w:t>
      </w:r>
      <w:r w:rsidR="0012099B" w:rsidRPr="00AD2E70">
        <w:rPr>
          <w:rFonts w:ascii="Times New Roman" w:hAnsi="Times New Roman" w:cs="Times New Roman"/>
          <w:sz w:val="24"/>
          <w:szCs w:val="24"/>
          <w:lang w:val="en-CA"/>
        </w:rPr>
        <w:t>,</w:t>
      </w:r>
      <w:r w:rsidRPr="00AD2E70">
        <w:rPr>
          <w:rStyle w:val="FootnoteReference"/>
          <w:rFonts w:ascii="Times New Roman" w:hAnsi="Times New Roman" w:cs="Times New Roman"/>
          <w:sz w:val="24"/>
          <w:szCs w:val="24"/>
          <w:lang w:val="en-CA"/>
        </w:rPr>
        <w:footnoteReference w:id="7"/>
      </w:r>
      <w:r w:rsidR="0012099B" w:rsidRPr="00AD2E70">
        <w:rPr>
          <w:rFonts w:ascii="Times New Roman" w:hAnsi="Times New Roman" w:cs="Times New Roman"/>
          <w:sz w:val="24"/>
          <w:szCs w:val="24"/>
          <w:lang w:val="en-CA"/>
        </w:rPr>
        <w:t xml:space="preserve"> a lendor-bank brought a summary judgment application to enforce a guarantee of $2</w:t>
      </w:r>
      <w:r w:rsidR="00CB188D" w:rsidRPr="00AD2E70">
        <w:rPr>
          <w:rFonts w:ascii="Times New Roman" w:hAnsi="Times New Roman" w:cs="Times New Roman"/>
          <w:sz w:val="24"/>
          <w:szCs w:val="24"/>
          <w:lang w:val="en-CA"/>
        </w:rPr>
        <w:t>,000,000</w:t>
      </w:r>
      <w:r w:rsidR="0012099B" w:rsidRPr="00AD2E70">
        <w:rPr>
          <w:rFonts w:ascii="Times New Roman" w:hAnsi="Times New Roman" w:cs="Times New Roman"/>
          <w:sz w:val="24"/>
          <w:szCs w:val="24"/>
          <w:lang w:val="en-CA"/>
        </w:rPr>
        <w:t xml:space="preserve">. </w:t>
      </w:r>
      <w:r w:rsidR="005E7CBC" w:rsidRPr="00AD2E70">
        <w:rPr>
          <w:rFonts w:ascii="Times New Roman" w:hAnsi="Times New Roman" w:cs="Times New Roman"/>
          <w:sz w:val="24"/>
          <w:szCs w:val="24"/>
          <w:lang w:val="en-CA"/>
        </w:rPr>
        <w:t xml:space="preserve">Counsel for the guarantors encouraged the </w:t>
      </w:r>
      <w:r w:rsidR="00E54CD4" w:rsidRPr="00AD2E70">
        <w:rPr>
          <w:rFonts w:ascii="Times New Roman" w:hAnsi="Times New Roman" w:cs="Times New Roman"/>
          <w:sz w:val="24"/>
          <w:szCs w:val="24"/>
          <w:lang w:val="en-CA"/>
        </w:rPr>
        <w:t>C</w:t>
      </w:r>
      <w:r w:rsidR="005E7CBC" w:rsidRPr="00AD2E70">
        <w:rPr>
          <w:rFonts w:ascii="Times New Roman" w:hAnsi="Times New Roman" w:cs="Times New Roman"/>
          <w:sz w:val="24"/>
          <w:szCs w:val="24"/>
          <w:lang w:val="en-CA"/>
        </w:rPr>
        <w:t>ourt</w:t>
      </w:r>
      <w:r w:rsidR="007F3F2B">
        <w:rPr>
          <w:rFonts w:ascii="Times New Roman" w:hAnsi="Times New Roman" w:cs="Times New Roman"/>
          <w:sz w:val="24"/>
          <w:szCs w:val="24"/>
          <w:lang w:val="en-CA"/>
        </w:rPr>
        <w:t xml:space="preserve"> </w:t>
      </w:r>
      <w:r w:rsidR="005E7CBC" w:rsidRPr="00AD2E70">
        <w:rPr>
          <w:rFonts w:ascii="Times New Roman" w:hAnsi="Times New Roman" w:cs="Times New Roman"/>
          <w:sz w:val="24"/>
          <w:szCs w:val="24"/>
          <w:lang w:val="en-CA"/>
        </w:rPr>
        <w:t>to be cautio</w:t>
      </w:r>
      <w:r w:rsidR="0030105D">
        <w:rPr>
          <w:rFonts w:ascii="Times New Roman" w:hAnsi="Times New Roman" w:cs="Times New Roman"/>
          <w:sz w:val="24"/>
          <w:szCs w:val="24"/>
          <w:lang w:val="en-CA"/>
        </w:rPr>
        <w:t>us in</w:t>
      </w:r>
      <w:r w:rsidR="005E7CBC" w:rsidRPr="00AD2E70">
        <w:rPr>
          <w:rFonts w:ascii="Times New Roman" w:hAnsi="Times New Roman" w:cs="Times New Roman"/>
          <w:sz w:val="24"/>
          <w:szCs w:val="24"/>
          <w:lang w:val="en-CA"/>
        </w:rPr>
        <w:t xml:space="preserve"> adopting an approach that focused on the strict wording of the guarantees.</w:t>
      </w:r>
      <w:r w:rsidR="00F24521" w:rsidRPr="00AD2E70">
        <w:rPr>
          <w:rFonts w:ascii="Times New Roman" w:hAnsi="Times New Roman" w:cs="Times New Roman"/>
          <w:sz w:val="24"/>
          <w:szCs w:val="24"/>
          <w:lang w:val="en-CA"/>
        </w:rPr>
        <w:t xml:space="preserve"> The Court</w:t>
      </w:r>
      <w:r w:rsidR="00DD4FD6">
        <w:rPr>
          <w:rFonts w:ascii="Times New Roman" w:hAnsi="Times New Roman" w:cs="Times New Roman"/>
          <w:sz w:val="24"/>
          <w:szCs w:val="24"/>
          <w:lang w:val="en-CA"/>
        </w:rPr>
        <w:t>, though,</w:t>
      </w:r>
      <w:r w:rsidR="00F24521" w:rsidRPr="00AD2E70">
        <w:rPr>
          <w:rFonts w:ascii="Times New Roman" w:hAnsi="Times New Roman" w:cs="Times New Roman"/>
          <w:sz w:val="24"/>
          <w:szCs w:val="24"/>
          <w:lang w:val="en-CA"/>
        </w:rPr>
        <w:t xml:space="preserve"> </w:t>
      </w:r>
      <w:r w:rsidR="00DD4FD6">
        <w:rPr>
          <w:rFonts w:ascii="Times New Roman" w:hAnsi="Times New Roman" w:cs="Times New Roman"/>
          <w:sz w:val="24"/>
          <w:szCs w:val="24"/>
          <w:lang w:val="en-CA"/>
        </w:rPr>
        <w:t>paying heed to</w:t>
      </w:r>
      <w:r w:rsidR="00DD4FD6" w:rsidRPr="00AD2E70">
        <w:rPr>
          <w:rFonts w:ascii="Times New Roman" w:hAnsi="Times New Roman" w:cs="Times New Roman"/>
          <w:sz w:val="24"/>
          <w:szCs w:val="24"/>
          <w:lang w:val="en-CA"/>
        </w:rPr>
        <w:t xml:space="preserve"> </w:t>
      </w:r>
      <w:r w:rsidR="005E7CBC" w:rsidRPr="00AD2E70">
        <w:rPr>
          <w:rFonts w:ascii="Times New Roman" w:hAnsi="Times New Roman" w:cs="Times New Roman"/>
          <w:sz w:val="24"/>
          <w:szCs w:val="24"/>
          <w:lang w:val="en-CA"/>
        </w:rPr>
        <w:t xml:space="preserve">this </w:t>
      </w:r>
      <w:r w:rsidR="00484C1E" w:rsidRPr="00AD2E70">
        <w:rPr>
          <w:rFonts w:ascii="Times New Roman" w:hAnsi="Times New Roman" w:cs="Times New Roman"/>
          <w:sz w:val="24"/>
          <w:szCs w:val="24"/>
          <w:lang w:val="en-CA"/>
        </w:rPr>
        <w:t>warning</w:t>
      </w:r>
      <w:r w:rsidR="00DD4FD6">
        <w:rPr>
          <w:rFonts w:ascii="Times New Roman" w:hAnsi="Times New Roman" w:cs="Times New Roman"/>
          <w:sz w:val="24"/>
          <w:szCs w:val="24"/>
          <w:lang w:val="en-CA"/>
        </w:rPr>
        <w:t>, instead</w:t>
      </w:r>
      <w:r w:rsidR="00F24521" w:rsidRPr="00AD2E70">
        <w:rPr>
          <w:rFonts w:ascii="Times New Roman" w:hAnsi="Times New Roman" w:cs="Times New Roman"/>
          <w:sz w:val="24"/>
          <w:szCs w:val="24"/>
          <w:lang w:val="en-CA"/>
        </w:rPr>
        <w:t xml:space="preserve"> relied on the principle</w:t>
      </w:r>
      <w:r w:rsidR="00DD4FD6">
        <w:rPr>
          <w:rFonts w:ascii="Times New Roman" w:hAnsi="Times New Roman" w:cs="Times New Roman"/>
          <w:sz w:val="24"/>
          <w:szCs w:val="24"/>
          <w:lang w:val="en-CA"/>
        </w:rPr>
        <w:t>s</w:t>
      </w:r>
      <w:r w:rsidR="00F24521" w:rsidRPr="00AD2E70">
        <w:rPr>
          <w:rFonts w:ascii="Times New Roman" w:hAnsi="Times New Roman" w:cs="Times New Roman"/>
          <w:sz w:val="24"/>
          <w:szCs w:val="24"/>
          <w:lang w:val="en-CA"/>
        </w:rPr>
        <w:t xml:space="preserve"> from</w:t>
      </w:r>
      <w:r w:rsidR="0030105D">
        <w:rPr>
          <w:rFonts w:ascii="Times New Roman" w:hAnsi="Times New Roman" w:cs="Times New Roman"/>
          <w:sz w:val="24"/>
          <w:szCs w:val="24"/>
          <w:lang w:val="en-CA"/>
        </w:rPr>
        <w:t xml:space="preserve"> </w:t>
      </w:r>
      <w:r w:rsidR="00DD4FD6">
        <w:rPr>
          <w:rFonts w:ascii="Times New Roman" w:hAnsi="Times New Roman" w:cs="Times New Roman"/>
          <w:sz w:val="24"/>
          <w:szCs w:val="24"/>
          <w:lang w:val="en-CA"/>
        </w:rPr>
        <w:t xml:space="preserve">the </w:t>
      </w:r>
      <w:r w:rsidR="0030105D">
        <w:rPr>
          <w:rFonts w:ascii="Times New Roman" w:hAnsi="Times New Roman" w:cs="Times New Roman"/>
          <w:sz w:val="24"/>
          <w:szCs w:val="24"/>
          <w:lang w:val="en-CA"/>
        </w:rPr>
        <w:t>Supreme Court of Canada decision in</w:t>
      </w:r>
      <w:r w:rsidR="00F24521" w:rsidRPr="00AD2E70">
        <w:rPr>
          <w:rFonts w:ascii="Times New Roman" w:hAnsi="Times New Roman" w:cs="Times New Roman"/>
          <w:sz w:val="24"/>
          <w:szCs w:val="24"/>
          <w:lang w:val="en-CA"/>
        </w:rPr>
        <w:t xml:space="preserve"> </w:t>
      </w:r>
      <w:r w:rsidR="00F24521" w:rsidRPr="00AD2E70">
        <w:rPr>
          <w:rFonts w:ascii="Times New Roman" w:hAnsi="Times New Roman" w:cs="Times New Roman"/>
          <w:i/>
          <w:iCs/>
          <w:sz w:val="24"/>
          <w:szCs w:val="24"/>
          <w:lang w:val="en-CA"/>
        </w:rPr>
        <w:t>Creston Moly Corp. v Sattva Capital Corp.</w:t>
      </w:r>
      <w:r w:rsidR="00F24521" w:rsidRPr="00AD2E70">
        <w:rPr>
          <w:rFonts w:ascii="Times New Roman" w:hAnsi="Times New Roman" w:cs="Times New Roman"/>
          <w:sz w:val="24"/>
          <w:szCs w:val="24"/>
          <w:lang w:val="en-CA"/>
        </w:rPr>
        <w:t>,</w:t>
      </w:r>
      <w:r w:rsidRPr="00AD2E70">
        <w:rPr>
          <w:rStyle w:val="FootnoteReference"/>
          <w:rFonts w:ascii="Times New Roman" w:hAnsi="Times New Roman" w:cs="Times New Roman"/>
          <w:sz w:val="24"/>
          <w:szCs w:val="24"/>
          <w:lang w:val="en-CA"/>
        </w:rPr>
        <w:footnoteReference w:id="8"/>
      </w:r>
      <w:r w:rsidR="00F24521" w:rsidRPr="00AD2E70">
        <w:rPr>
          <w:rFonts w:ascii="Times New Roman" w:hAnsi="Times New Roman" w:cs="Times New Roman"/>
          <w:sz w:val="24"/>
          <w:szCs w:val="24"/>
          <w:lang w:val="en-CA"/>
        </w:rPr>
        <w:t xml:space="preserve"> which found that interpreting </w:t>
      </w:r>
      <w:r w:rsidR="005E7CBC" w:rsidRPr="00AD2E70">
        <w:rPr>
          <w:rFonts w:ascii="Times New Roman" w:hAnsi="Times New Roman" w:cs="Times New Roman"/>
          <w:sz w:val="24"/>
          <w:szCs w:val="24"/>
          <w:lang w:val="en-CA"/>
        </w:rPr>
        <w:t>contracts</w:t>
      </w:r>
      <w:r w:rsidR="00F24521" w:rsidRPr="00AD2E70">
        <w:rPr>
          <w:rFonts w:ascii="Times New Roman" w:hAnsi="Times New Roman" w:cs="Times New Roman"/>
          <w:sz w:val="24"/>
          <w:szCs w:val="24"/>
          <w:lang w:val="en-CA"/>
        </w:rPr>
        <w:t xml:space="preserve"> require</w:t>
      </w:r>
      <w:r w:rsidR="00484C1E" w:rsidRPr="00AD2E70">
        <w:rPr>
          <w:rFonts w:ascii="Times New Roman" w:hAnsi="Times New Roman" w:cs="Times New Roman"/>
          <w:sz w:val="24"/>
          <w:szCs w:val="24"/>
          <w:lang w:val="en-CA"/>
        </w:rPr>
        <w:t>d</w:t>
      </w:r>
      <w:r w:rsidR="00F24521" w:rsidRPr="00AD2E70">
        <w:rPr>
          <w:rFonts w:ascii="Times New Roman" w:hAnsi="Times New Roman" w:cs="Times New Roman"/>
          <w:sz w:val="24"/>
          <w:szCs w:val="24"/>
          <w:lang w:val="en-CA"/>
        </w:rPr>
        <w:t xml:space="preserve"> a full analysis of the</w:t>
      </w:r>
      <w:r w:rsidR="005E7CBC" w:rsidRPr="00AD2E70">
        <w:rPr>
          <w:rFonts w:ascii="Times New Roman" w:hAnsi="Times New Roman" w:cs="Times New Roman"/>
          <w:sz w:val="24"/>
          <w:szCs w:val="24"/>
          <w:lang w:val="en-CA"/>
        </w:rPr>
        <w:t xml:space="preserve"> factual matrix (</w:t>
      </w:r>
      <w:r w:rsidR="00F24521" w:rsidRPr="00AD2E70">
        <w:rPr>
          <w:rFonts w:ascii="Times New Roman" w:hAnsi="Times New Roman" w:cs="Times New Roman"/>
          <w:sz w:val="24"/>
          <w:szCs w:val="24"/>
          <w:lang w:val="en-CA"/>
        </w:rPr>
        <w:t>facts relevant to that task</w:t>
      </w:r>
      <w:r w:rsidR="005E7CBC" w:rsidRPr="00AD2E70">
        <w:rPr>
          <w:rFonts w:ascii="Times New Roman" w:hAnsi="Times New Roman" w:cs="Times New Roman"/>
          <w:sz w:val="24"/>
          <w:szCs w:val="24"/>
          <w:lang w:val="en-CA"/>
        </w:rPr>
        <w:t>)</w:t>
      </w:r>
      <w:r w:rsidR="00484C1E" w:rsidRPr="00AD2E70">
        <w:rPr>
          <w:rFonts w:ascii="Times New Roman" w:hAnsi="Times New Roman" w:cs="Times New Roman"/>
          <w:sz w:val="24"/>
          <w:szCs w:val="24"/>
          <w:lang w:val="en-CA"/>
        </w:rPr>
        <w:t xml:space="preserve">, </w:t>
      </w:r>
      <w:r w:rsidR="00F24521" w:rsidRPr="00AD2E70">
        <w:rPr>
          <w:rFonts w:ascii="Times New Roman" w:hAnsi="Times New Roman" w:cs="Times New Roman"/>
          <w:sz w:val="24"/>
          <w:szCs w:val="24"/>
          <w:lang w:val="en-CA"/>
        </w:rPr>
        <w:t xml:space="preserve">the intent of the parties and the scope of their understanding. </w:t>
      </w:r>
      <w:r w:rsidR="00484C1E" w:rsidRPr="00AD2E70">
        <w:rPr>
          <w:rFonts w:ascii="Times New Roman" w:hAnsi="Times New Roman" w:cs="Times New Roman"/>
          <w:sz w:val="24"/>
          <w:szCs w:val="24"/>
          <w:lang w:val="en-CA"/>
        </w:rPr>
        <w:t>Even when the Court followed th</w:t>
      </w:r>
      <w:r w:rsidR="009944F4">
        <w:rPr>
          <w:rFonts w:ascii="Times New Roman" w:hAnsi="Times New Roman" w:cs="Times New Roman"/>
          <w:sz w:val="24"/>
          <w:szCs w:val="24"/>
          <w:lang w:val="en-CA"/>
        </w:rPr>
        <w:t>is</w:t>
      </w:r>
      <w:r w:rsidR="00484C1E" w:rsidRPr="00AD2E70">
        <w:rPr>
          <w:rFonts w:ascii="Times New Roman" w:hAnsi="Times New Roman" w:cs="Times New Roman"/>
          <w:sz w:val="24"/>
          <w:szCs w:val="24"/>
          <w:lang w:val="en-CA"/>
        </w:rPr>
        <w:t xml:space="preserve"> principle, it still found</w:t>
      </w:r>
      <w:r w:rsidR="009944F4">
        <w:rPr>
          <w:rFonts w:ascii="Times New Roman" w:hAnsi="Times New Roman" w:cs="Times New Roman"/>
          <w:sz w:val="24"/>
          <w:szCs w:val="24"/>
          <w:lang w:val="en-CA"/>
        </w:rPr>
        <w:t xml:space="preserve"> clear</w:t>
      </w:r>
      <w:r w:rsidR="00484C1E" w:rsidRPr="00AD2E70">
        <w:rPr>
          <w:rFonts w:ascii="Times New Roman" w:hAnsi="Times New Roman" w:cs="Times New Roman"/>
          <w:sz w:val="24"/>
          <w:szCs w:val="24"/>
          <w:lang w:val="en-CA"/>
        </w:rPr>
        <w:t xml:space="preserve"> wording and the intent of the guarantee </w:t>
      </w:r>
      <w:r w:rsidR="009944F4">
        <w:rPr>
          <w:rFonts w:ascii="Times New Roman" w:hAnsi="Times New Roman" w:cs="Times New Roman"/>
          <w:sz w:val="24"/>
          <w:szCs w:val="24"/>
          <w:lang w:val="en-CA"/>
        </w:rPr>
        <w:t>was enough to find the guarantee</w:t>
      </w:r>
      <w:r w:rsidR="00484C1E" w:rsidRPr="00AD2E70">
        <w:rPr>
          <w:rFonts w:ascii="Times New Roman" w:hAnsi="Times New Roman" w:cs="Times New Roman"/>
          <w:sz w:val="24"/>
          <w:szCs w:val="24"/>
          <w:lang w:val="en-CA"/>
        </w:rPr>
        <w:t xml:space="preserve"> valid.</w:t>
      </w:r>
      <w:r w:rsidR="00CB188D" w:rsidRPr="00AD2E70">
        <w:rPr>
          <w:rFonts w:ascii="Times New Roman" w:hAnsi="Times New Roman" w:cs="Times New Roman"/>
          <w:sz w:val="24"/>
          <w:szCs w:val="24"/>
          <w:lang w:val="en-CA"/>
        </w:rPr>
        <w:t xml:space="preserve"> </w:t>
      </w:r>
    </w:p>
    <w:p w14:paraId="756BF076" w14:textId="38884CB8" w:rsidR="00EF63B6" w:rsidRDefault="00970D96" w:rsidP="00AD2E70">
      <w:pPr>
        <w:jc w:val="both"/>
        <w:rPr>
          <w:rFonts w:ascii="Times New Roman" w:hAnsi="Times New Roman" w:cs="Times New Roman"/>
          <w:sz w:val="24"/>
          <w:szCs w:val="24"/>
          <w:lang w:val="en-CA"/>
        </w:rPr>
      </w:pPr>
      <w:r w:rsidRPr="00AD2E70">
        <w:rPr>
          <w:rFonts w:ascii="Times New Roman" w:hAnsi="Times New Roman" w:cs="Times New Roman"/>
          <w:sz w:val="24"/>
          <w:szCs w:val="24"/>
          <w:lang w:val="en-CA"/>
        </w:rPr>
        <w:t xml:space="preserve">The second factor </w:t>
      </w:r>
      <w:r w:rsidR="000A0F1B">
        <w:rPr>
          <w:rFonts w:ascii="Times New Roman" w:hAnsi="Times New Roman" w:cs="Times New Roman"/>
          <w:sz w:val="24"/>
          <w:szCs w:val="24"/>
          <w:lang w:val="en-CA"/>
        </w:rPr>
        <w:t>the Court</w:t>
      </w:r>
      <w:r w:rsidRPr="00AD2E70">
        <w:rPr>
          <w:rFonts w:ascii="Times New Roman" w:hAnsi="Times New Roman" w:cs="Times New Roman"/>
          <w:sz w:val="24"/>
          <w:szCs w:val="24"/>
          <w:lang w:val="en-CA"/>
        </w:rPr>
        <w:t xml:space="preserve"> look</w:t>
      </w:r>
      <w:r w:rsidR="000A0F1B">
        <w:rPr>
          <w:rFonts w:ascii="Times New Roman" w:hAnsi="Times New Roman" w:cs="Times New Roman"/>
          <w:sz w:val="24"/>
          <w:szCs w:val="24"/>
          <w:lang w:val="en-CA"/>
        </w:rPr>
        <w:t>s</w:t>
      </w:r>
      <w:r w:rsidRPr="00AD2E70">
        <w:rPr>
          <w:rFonts w:ascii="Times New Roman" w:hAnsi="Times New Roman" w:cs="Times New Roman"/>
          <w:sz w:val="24"/>
          <w:szCs w:val="24"/>
          <w:lang w:val="en-CA"/>
        </w:rPr>
        <w:t xml:space="preserve"> to when assessing the validity of a personal guarantee during a summary judgment</w:t>
      </w:r>
      <w:r w:rsidR="0030105D">
        <w:rPr>
          <w:rFonts w:ascii="Times New Roman" w:hAnsi="Times New Roman" w:cs="Times New Roman"/>
          <w:sz w:val="24"/>
          <w:szCs w:val="24"/>
          <w:lang w:val="en-CA"/>
        </w:rPr>
        <w:t xml:space="preserve"> motion</w:t>
      </w:r>
      <w:r w:rsidRPr="00AD2E70">
        <w:rPr>
          <w:rFonts w:ascii="Times New Roman" w:hAnsi="Times New Roman" w:cs="Times New Roman"/>
          <w:sz w:val="24"/>
          <w:szCs w:val="24"/>
          <w:lang w:val="en-CA"/>
        </w:rPr>
        <w:t xml:space="preserve"> is the evidence put before the Court. </w:t>
      </w:r>
      <w:r w:rsidR="00EF63B6">
        <w:rPr>
          <w:rFonts w:ascii="Times New Roman" w:hAnsi="Times New Roman" w:cs="Times New Roman"/>
          <w:sz w:val="24"/>
          <w:szCs w:val="24"/>
          <w:lang w:val="en-CA"/>
        </w:rPr>
        <w:t>While a</w:t>
      </w:r>
      <w:r w:rsidR="00E47F8B" w:rsidRPr="00AD2E70">
        <w:rPr>
          <w:rFonts w:ascii="Times New Roman" w:hAnsi="Times New Roman" w:cs="Times New Roman"/>
          <w:sz w:val="24"/>
          <w:szCs w:val="24"/>
          <w:lang w:val="en-CA"/>
        </w:rPr>
        <w:t xml:space="preserve">ll parties </w:t>
      </w:r>
      <w:r w:rsidR="006028AC">
        <w:rPr>
          <w:rFonts w:ascii="Times New Roman" w:hAnsi="Times New Roman" w:cs="Times New Roman"/>
          <w:sz w:val="24"/>
          <w:szCs w:val="24"/>
          <w:lang w:val="en-CA"/>
        </w:rPr>
        <w:t>have an obligation to</w:t>
      </w:r>
      <w:r w:rsidR="00E47F8B" w:rsidRPr="00AD2E70">
        <w:rPr>
          <w:rFonts w:ascii="Times New Roman" w:hAnsi="Times New Roman" w:cs="Times New Roman"/>
          <w:sz w:val="24"/>
          <w:szCs w:val="24"/>
          <w:lang w:val="en-CA"/>
        </w:rPr>
        <w:t xml:space="preserve"> put their best evidentiary foot forward</w:t>
      </w:r>
      <w:r w:rsidR="00EF63B6" w:rsidRPr="00AD2E70">
        <w:rPr>
          <w:rFonts w:ascii="Times New Roman" w:hAnsi="Times New Roman" w:cs="Times New Roman"/>
          <w:sz w:val="24"/>
          <w:szCs w:val="24"/>
          <w:lang w:val="en-CA"/>
        </w:rPr>
        <w:t>,</w:t>
      </w:r>
      <w:r w:rsidR="006028AC">
        <w:rPr>
          <w:rStyle w:val="FootnoteReference"/>
          <w:rFonts w:ascii="Times New Roman" w:hAnsi="Times New Roman" w:cs="Times New Roman"/>
          <w:sz w:val="24"/>
          <w:szCs w:val="24"/>
          <w:lang w:val="en-CA"/>
        </w:rPr>
        <w:footnoteReference w:id="9"/>
      </w:r>
      <w:r w:rsidR="00EF63B6" w:rsidRPr="00AD2E70">
        <w:rPr>
          <w:rFonts w:ascii="Times New Roman" w:hAnsi="Times New Roman" w:cs="Times New Roman"/>
          <w:sz w:val="24"/>
          <w:szCs w:val="24"/>
          <w:lang w:val="en-CA"/>
        </w:rPr>
        <w:t xml:space="preserve"> </w:t>
      </w:r>
      <w:r w:rsidR="00EF63B6">
        <w:rPr>
          <w:rFonts w:ascii="Times New Roman" w:hAnsi="Times New Roman" w:cs="Times New Roman"/>
          <w:sz w:val="24"/>
          <w:szCs w:val="24"/>
          <w:lang w:val="en-CA"/>
        </w:rPr>
        <w:t>it is</w:t>
      </w:r>
      <w:r w:rsidR="00EF63B6" w:rsidRPr="00AD2E70">
        <w:rPr>
          <w:rFonts w:ascii="Times New Roman" w:hAnsi="Times New Roman" w:cs="Times New Roman"/>
          <w:sz w:val="24"/>
          <w:szCs w:val="24"/>
          <w:lang w:val="en-CA"/>
        </w:rPr>
        <w:t xml:space="preserve"> especially</w:t>
      </w:r>
      <w:r w:rsidR="00EF63B6">
        <w:rPr>
          <w:rFonts w:ascii="Times New Roman" w:hAnsi="Times New Roman" w:cs="Times New Roman"/>
          <w:sz w:val="24"/>
          <w:szCs w:val="24"/>
          <w:lang w:val="en-CA"/>
        </w:rPr>
        <w:t xml:space="preserve"> true for</w:t>
      </w:r>
      <w:r w:rsidR="00EF63B6" w:rsidRPr="00AD2E70">
        <w:rPr>
          <w:rFonts w:ascii="Times New Roman" w:hAnsi="Times New Roman" w:cs="Times New Roman"/>
          <w:sz w:val="24"/>
          <w:szCs w:val="24"/>
          <w:lang w:val="en-CA"/>
        </w:rPr>
        <w:t xml:space="preserve"> the guarantors</w:t>
      </w:r>
      <w:r w:rsidR="009944F4">
        <w:rPr>
          <w:rFonts w:ascii="Times New Roman" w:hAnsi="Times New Roman" w:cs="Times New Roman"/>
          <w:sz w:val="24"/>
          <w:szCs w:val="24"/>
          <w:lang w:val="en-CA"/>
        </w:rPr>
        <w:t>,</w:t>
      </w:r>
      <w:r w:rsidR="00DD4FD6">
        <w:rPr>
          <w:rFonts w:ascii="Times New Roman" w:hAnsi="Times New Roman" w:cs="Times New Roman"/>
          <w:sz w:val="24"/>
          <w:szCs w:val="24"/>
          <w:lang w:val="en-CA"/>
        </w:rPr>
        <w:t xml:space="preserve"> who often make bald assertions as to why they should not honour the agreement they have signed</w:t>
      </w:r>
      <w:r w:rsidR="00E47F8B" w:rsidRPr="00AD2E70">
        <w:rPr>
          <w:rFonts w:ascii="Times New Roman" w:hAnsi="Times New Roman" w:cs="Times New Roman"/>
          <w:sz w:val="24"/>
          <w:szCs w:val="24"/>
          <w:lang w:val="en-CA"/>
        </w:rPr>
        <w:t>.</w:t>
      </w:r>
      <w:r w:rsidR="00E47F8B" w:rsidRPr="00AD2E70">
        <w:rPr>
          <w:rStyle w:val="FootnoteReference"/>
          <w:rFonts w:ascii="Times New Roman" w:hAnsi="Times New Roman" w:cs="Times New Roman"/>
          <w:sz w:val="24"/>
          <w:szCs w:val="24"/>
          <w:lang w:val="en-CA"/>
        </w:rPr>
        <w:footnoteReference w:id="10"/>
      </w:r>
      <w:r w:rsidR="00E47F8B" w:rsidRPr="00AD2E70">
        <w:rPr>
          <w:rFonts w:ascii="Times New Roman" w:hAnsi="Times New Roman" w:cs="Times New Roman"/>
          <w:sz w:val="24"/>
          <w:szCs w:val="24"/>
          <w:lang w:val="en-CA"/>
        </w:rPr>
        <w:t xml:space="preserve"> </w:t>
      </w:r>
      <w:r w:rsidR="0030105D">
        <w:rPr>
          <w:rFonts w:ascii="Times New Roman" w:hAnsi="Times New Roman" w:cs="Times New Roman"/>
          <w:sz w:val="24"/>
          <w:szCs w:val="24"/>
          <w:lang w:val="en-CA"/>
        </w:rPr>
        <w:t>This is why evidence is so essential – e</w:t>
      </w:r>
      <w:r w:rsidR="00EF63B6" w:rsidRPr="00AD2E70">
        <w:rPr>
          <w:rFonts w:ascii="Times New Roman" w:hAnsi="Times New Roman" w:cs="Times New Roman"/>
          <w:sz w:val="24"/>
          <w:szCs w:val="24"/>
          <w:lang w:val="en-CA"/>
        </w:rPr>
        <w:t>vidence is needed so the Court is able to discount</w:t>
      </w:r>
      <w:r w:rsidR="00DD4FD6">
        <w:rPr>
          <w:rFonts w:ascii="Times New Roman" w:hAnsi="Times New Roman" w:cs="Times New Roman"/>
          <w:sz w:val="24"/>
          <w:szCs w:val="24"/>
          <w:lang w:val="en-CA"/>
        </w:rPr>
        <w:t xml:space="preserve"> </w:t>
      </w:r>
      <w:r w:rsidR="009944F4">
        <w:rPr>
          <w:rFonts w:ascii="Times New Roman" w:hAnsi="Times New Roman" w:cs="Times New Roman"/>
          <w:sz w:val="24"/>
          <w:szCs w:val="24"/>
          <w:lang w:val="en-CA"/>
        </w:rPr>
        <w:t xml:space="preserve">a </w:t>
      </w:r>
      <w:r w:rsidR="00EF63B6" w:rsidRPr="00AD2E70">
        <w:rPr>
          <w:rFonts w:ascii="Times New Roman" w:hAnsi="Times New Roman" w:cs="Times New Roman"/>
          <w:sz w:val="24"/>
          <w:szCs w:val="24"/>
          <w:lang w:val="en-CA"/>
        </w:rPr>
        <w:t xml:space="preserve">plethora of meritless defences used by the guarantors. </w:t>
      </w:r>
      <w:r w:rsidR="00EF63B6">
        <w:rPr>
          <w:rFonts w:ascii="Times New Roman" w:hAnsi="Times New Roman" w:cs="Times New Roman"/>
          <w:sz w:val="24"/>
          <w:szCs w:val="24"/>
          <w:lang w:val="en-CA"/>
        </w:rPr>
        <w:t>This</w:t>
      </w:r>
      <w:r w:rsidR="0030105D">
        <w:rPr>
          <w:rFonts w:ascii="Times New Roman" w:hAnsi="Times New Roman" w:cs="Times New Roman"/>
          <w:sz w:val="24"/>
          <w:szCs w:val="24"/>
          <w:lang w:val="en-CA"/>
        </w:rPr>
        <w:t xml:space="preserve"> </w:t>
      </w:r>
      <w:r w:rsidR="009944F4">
        <w:rPr>
          <w:rFonts w:ascii="Times New Roman" w:hAnsi="Times New Roman" w:cs="Times New Roman"/>
          <w:sz w:val="24"/>
          <w:szCs w:val="24"/>
          <w:lang w:val="en-CA"/>
        </w:rPr>
        <w:t>technique</w:t>
      </w:r>
      <w:r w:rsidR="00EF63B6">
        <w:rPr>
          <w:rFonts w:ascii="Times New Roman" w:hAnsi="Times New Roman" w:cs="Times New Roman"/>
          <w:sz w:val="24"/>
          <w:szCs w:val="24"/>
          <w:lang w:val="en-CA"/>
        </w:rPr>
        <w:t xml:space="preserve"> is a guarantor’s attempt to </w:t>
      </w:r>
      <w:r w:rsidR="0030105D">
        <w:rPr>
          <w:rFonts w:ascii="Times New Roman" w:hAnsi="Times New Roman" w:cs="Times New Roman"/>
          <w:sz w:val="24"/>
          <w:szCs w:val="24"/>
          <w:lang w:val="en-CA"/>
        </w:rPr>
        <w:t>show</w:t>
      </w:r>
      <w:r w:rsidR="00EF63B6">
        <w:rPr>
          <w:rFonts w:ascii="Times New Roman" w:hAnsi="Times New Roman" w:cs="Times New Roman"/>
          <w:sz w:val="24"/>
          <w:szCs w:val="24"/>
          <w:lang w:val="en-CA"/>
        </w:rPr>
        <w:t xml:space="preserve"> the Court a full trial and</w:t>
      </w:r>
      <w:r w:rsidR="0030105D">
        <w:rPr>
          <w:rFonts w:ascii="Times New Roman" w:hAnsi="Times New Roman" w:cs="Times New Roman"/>
          <w:sz w:val="24"/>
          <w:szCs w:val="24"/>
          <w:lang w:val="en-CA"/>
        </w:rPr>
        <w:t>/or</w:t>
      </w:r>
      <w:r w:rsidR="00EF63B6">
        <w:rPr>
          <w:rFonts w:ascii="Times New Roman" w:hAnsi="Times New Roman" w:cs="Times New Roman"/>
          <w:sz w:val="24"/>
          <w:szCs w:val="24"/>
          <w:lang w:val="en-CA"/>
        </w:rPr>
        <w:t xml:space="preserve"> </w:t>
      </w:r>
      <w:r w:rsidR="00EF63B6" w:rsidRPr="00EF63B6">
        <w:rPr>
          <w:rFonts w:ascii="Times New Roman" w:hAnsi="Times New Roman" w:cs="Times New Roman"/>
          <w:i/>
          <w:iCs/>
          <w:sz w:val="24"/>
          <w:szCs w:val="24"/>
          <w:lang w:val="en-CA"/>
        </w:rPr>
        <w:t>viva voce</w:t>
      </w:r>
      <w:r w:rsidR="00EF63B6">
        <w:rPr>
          <w:rFonts w:ascii="Times New Roman" w:hAnsi="Times New Roman" w:cs="Times New Roman"/>
          <w:sz w:val="24"/>
          <w:szCs w:val="24"/>
          <w:lang w:val="en-CA"/>
        </w:rPr>
        <w:t xml:space="preserve"> evidence is needed before</w:t>
      </w:r>
      <w:r w:rsidR="0030105D">
        <w:rPr>
          <w:rFonts w:ascii="Times New Roman" w:hAnsi="Times New Roman" w:cs="Times New Roman"/>
          <w:sz w:val="24"/>
          <w:szCs w:val="24"/>
          <w:lang w:val="en-CA"/>
        </w:rPr>
        <w:t xml:space="preserve"> a determination can be made </w:t>
      </w:r>
      <w:r w:rsidR="006028AC">
        <w:rPr>
          <w:rFonts w:ascii="Times New Roman" w:hAnsi="Times New Roman" w:cs="Times New Roman"/>
          <w:sz w:val="24"/>
          <w:szCs w:val="24"/>
          <w:lang w:val="en-CA"/>
        </w:rPr>
        <w:t>regarding</w:t>
      </w:r>
      <w:r w:rsidR="00EF63B6">
        <w:rPr>
          <w:rFonts w:ascii="Times New Roman" w:hAnsi="Times New Roman" w:cs="Times New Roman"/>
          <w:sz w:val="24"/>
          <w:szCs w:val="24"/>
          <w:lang w:val="en-CA"/>
        </w:rPr>
        <w:t xml:space="preserve"> the guarantee</w:t>
      </w:r>
      <w:r w:rsidR="0030105D">
        <w:rPr>
          <w:rFonts w:ascii="Times New Roman" w:hAnsi="Times New Roman" w:cs="Times New Roman"/>
          <w:sz w:val="24"/>
          <w:szCs w:val="24"/>
          <w:lang w:val="en-CA"/>
        </w:rPr>
        <w:t xml:space="preserve"> and the ultimate liability of the guarantor.</w:t>
      </w:r>
      <w:r w:rsidR="00EF63B6">
        <w:rPr>
          <w:rFonts w:ascii="Times New Roman" w:hAnsi="Times New Roman" w:cs="Times New Roman"/>
          <w:sz w:val="24"/>
          <w:szCs w:val="24"/>
          <w:lang w:val="en-CA"/>
        </w:rPr>
        <w:t xml:space="preserve"> </w:t>
      </w:r>
      <w:r w:rsidRPr="00AD2E70">
        <w:rPr>
          <w:rFonts w:ascii="Times New Roman" w:hAnsi="Times New Roman" w:cs="Times New Roman"/>
          <w:sz w:val="24"/>
          <w:szCs w:val="24"/>
          <w:lang w:val="en-CA"/>
        </w:rPr>
        <w:t>To put it in colloquial terms,</w:t>
      </w:r>
      <w:r w:rsidR="00EF63B6">
        <w:rPr>
          <w:rFonts w:ascii="Times New Roman" w:hAnsi="Times New Roman" w:cs="Times New Roman"/>
          <w:sz w:val="24"/>
          <w:szCs w:val="24"/>
          <w:lang w:val="en-CA"/>
        </w:rPr>
        <w:t xml:space="preserve"> </w:t>
      </w:r>
      <w:r w:rsidRPr="00AD2E70">
        <w:rPr>
          <w:rFonts w:ascii="Times New Roman" w:hAnsi="Times New Roman" w:cs="Times New Roman"/>
          <w:sz w:val="24"/>
          <w:szCs w:val="24"/>
          <w:lang w:val="en-CA"/>
        </w:rPr>
        <w:t>imagine</w:t>
      </w:r>
      <w:r w:rsidR="00DB5F33" w:rsidRPr="00AD2E70">
        <w:rPr>
          <w:rFonts w:ascii="Times New Roman" w:hAnsi="Times New Roman" w:cs="Times New Roman"/>
          <w:sz w:val="24"/>
          <w:szCs w:val="24"/>
          <w:lang w:val="en-CA"/>
        </w:rPr>
        <w:t xml:space="preserve"> the legal equivalent of</w:t>
      </w:r>
      <w:r w:rsidRPr="00AD2E70">
        <w:rPr>
          <w:rFonts w:ascii="Times New Roman" w:hAnsi="Times New Roman" w:cs="Times New Roman"/>
          <w:sz w:val="24"/>
          <w:szCs w:val="24"/>
          <w:lang w:val="en-CA"/>
        </w:rPr>
        <w:t xml:space="preserve"> the saying</w:t>
      </w:r>
      <w:r w:rsidR="009944F4">
        <w:rPr>
          <w:rFonts w:ascii="Times New Roman" w:hAnsi="Times New Roman" w:cs="Times New Roman"/>
          <w:sz w:val="24"/>
          <w:szCs w:val="24"/>
          <w:lang w:val="en-CA"/>
        </w:rPr>
        <w:t>,</w:t>
      </w:r>
      <w:r w:rsidRPr="00AD2E70">
        <w:rPr>
          <w:rFonts w:ascii="Times New Roman" w:hAnsi="Times New Roman" w:cs="Times New Roman"/>
          <w:sz w:val="24"/>
          <w:szCs w:val="24"/>
          <w:lang w:val="en-CA"/>
        </w:rPr>
        <w:t xml:space="preserve"> “throw everything at the wall and see what sticks”. </w:t>
      </w:r>
    </w:p>
    <w:p w14:paraId="6FA946A6" w14:textId="0C9FE7A5" w:rsidR="00EA7843" w:rsidRPr="00AD2E70" w:rsidRDefault="00970D96" w:rsidP="00AD2E70">
      <w:pPr>
        <w:jc w:val="both"/>
        <w:rPr>
          <w:rFonts w:ascii="Times New Roman" w:hAnsi="Times New Roman" w:cs="Times New Roman"/>
          <w:sz w:val="24"/>
          <w:szCs w:val="24"/>
          <w:lang w:val="en-CA"/>
        </w:rPr>
      </w:pPr>
      <w:r w:rsidRPr="00AD2E70">
        <w:rPr>
          <w:rFonts w:ascii="Times New Roman" w:hAnsi="Times New Roman" w:cs="Times New Roman"/>
          <w:sz w:val="24"/>
          <w:szCs w:val="24"/>
          <w:lang w:val="en-CA"/>
        </w:rPr>
        <w:t xml:space="preserve">Defences such as </w:t>
      </w:r>
      <w:r w:rsidR="003A7519" w:rsidRPr="00AD2E70">
        <w:rPr>
          <w:rFonts w:ascii="Times New Roman" w:hAnsi="Times New Roman" w:cs="Times New Roman"/>
          <w:sz w:val="24"/>
          <w:szCs w:val="24"/>
          <w:lang w:val="en-CA"/>
        </w:rPr>
        <w:t xml:space="preserve">non est factum, </w:t>
      </w:r>
      <w:r w:rsidR="006028AC">
        <w:rPr>
          <w:rFonts w:ascii="Times New Roman" w:hAnsi="Times New Roman" w:cs="Times New Roman"/>
          <w:sz w:val="24"/>
          <w:szCs w:val="24"/>
          <w:lang w:val="en-CA"/>
        </w:rPr>
        <w:t xml:space="preserve">negligent </w:t>
      </w:r>
      <w:r w:rsidR="003A7519" w:rsidRPr="00AD2E70">
        <w:rPr>
          <w:rFonts w:ascii="Times New Roman" w:hAnsi="Times New Roman" w:cs="Times New Roman"/>
          <w:sz w:val="24"/>
          <w:szCs w:val="24"/>
          <w:lang w:val="en-CA"/>
        </w:rPr>
        <w:t>misrepresentation and fraud are commonly put before the Court to suggest the guarantee is not valid and should not be upheld.</w:t>
      </w:r>
      <w:r w:rsidR="003A7519" w:rsidRPr="00AD2E70">
        <w:rPr>
          <w:rStyle w:val="FootnoteReference"/>
          <w:rFonts w:ascii="Times New Roman" w:hAnsi="Times New Roman" w:cs="Times New Roman"/>
          <w:sz w:val="24"/>
          <w:szCs w:val="24"/>
          <w:lang w:val="en-CA"/>
        </w:rPr>
        <w:footnoteReference w:id="11"/>
      </w:r>
      <w:r w:rsidR="003A7519" w:rsidRPr="00AD2E70">
        <w:rPr>
          <w:rFonts w:ascii="Times New Roman" w:hAnsi="Times New Roman" w:cs="Times New Roman"/>
          <w:sz w:val="24"/>
          <w:szCs w:val="24"/>
          <w:vertAlign w:val="superscript"/>
          <w:lang w:val="en-CA"/>
        </w:rPr>
        <w:t xml:space="preserve"> </w:t>
      </w:r>
      <w:r w:rsidR="003A7519" w:rsidRPr="00AD2E70">
        <w:rPr>
          <w:rFonts w:ascii="Times New Roman" w:hAnsi="Times New Roman" w:cs="Times New Roman"/>
          <w:sz w:val="24"/>
          <w:szCs w:val="24"/>
          <w:lang w:val="en-CA"/>
        </w:rPr>
        <w:t xml:space="preserve">Guarantors </w:t>
      </w:r>
      <w:r w:rsidR="00DD4FD6">
        <w:rPr>
          <w:rFonts w:ascii="Times New Roman" w:hAnsi="Times New Roman" w:cs="Times New Roman"/>
          <w:sz w:val="24"/>
          <w:szCs w:val="24"/>
          <w:lang w:val="en-CA"/>
        </w:rPr>
        <w:t>are sometimes even more</w:t>
      </w:r>
      <w:r w:rsidR="003A7519" w:rsidRPr="00AD2E70">
        <w:rPr>
          <w:rFonts w:ascii="Times New Roman" w:hAnsi="Times New Roman" w:cs="Times New Roman"/>
          <w:sz w:val="24"/>
          <w:szCs w:val="24"/>
          <w:lang w:val="en-CA"/>
        </w:rPr>
        <w:t xml:space="preserve"> creative with their defences, as in </w:t>
      </w:r>
      <w:r w:rsidR="00E47F8B" w:rsidRPr="00AD2E70">
        <w:rPr>
          <w:rFonts w:ascii="Times New Roman" w:hAnsi="Times New Roman" w:cs="Times New Roman"/>
          <w:i/>
          <w:iCs/>
          <w:sz w:val="24"/>
          <w:szCs w:val="24"/>
          <w:lang w:val="en-CA"/>
        </w:rPr>
        <w:t>Bu</w:t>
      </w:r>
      <w:r w:rsidR="00E47F8B" w:rsidRPr="00AD2E70">
        <w:rPr>
          <w:rFonts w:ascii="Times New Roman" w:hAnsi="Times New Roman" w:cs="Times New Roman"/>
          <w:i/>
          <w:iCs/>
          <w:sz w:val="24"/>
          <w:szCs w:val="24"/>
        </w:rPr>
        <w:t>siness Development Bank of Canada v. Paloheimo</w:t>
      </w:r>
      <w:r w:rsidR="003A7519" w:rsidRPr="00AD2E70">
        <w:rPr>
          <w:rFonts w:ascii="Times New Roman" w:hAnsi="Times New Roman" w:cs="Times New Roman"/>
          <w:sz w:val="24"/>
          <w:szCs w:val="24"/>
        </w:rPr>
        <w:t>.</w:t>
      </w:r>
      <w:r w:rsidR="00E47F8B" w:rsidRPr="00AD2E70">
        <w:rPr>
          <w:rStyle w:val="FootnoteReference"/>
          <w:rFonts w:ascii="Times New Roman" w:hAnsi="Times New Roman" w:cs="Times New Roman"/>
          <w:sz w:val="24"/>
          <w:szCs w:val="24"/>
        </w:rPr>
        <w:footnoteReference w:id="12"/>
      </w:r>
      <w:r w:rsidR="003A7519" w:rsidRPr="00AD2E70">
        <w:rPr>
          <w:rFonts w:ascii="Times New Roman" w:hAnsi="Times New Roman" w:cs="Times New Roman"/>
          <w:sz w:val="24"/>
          <w:szCs w:val="24"/>
        </w:rPr>
        <w:t xml:space="preserve"> Here,</w:t>
      </w:r>
      <w:r w:rsidR="00EA7843" w:rsidRPr="00AD2E70">
        <w:rPr>
          <w:rFonts w:ascii="Times New Roman" w:hAnsi="Times New Roman" w:cs="Times New Roman"/>
          <w:sz w:val="24"/>
          <w:szCs w:val="24"/>
        </w:rPr>
        <w:t xml:space="preserve"> the guarantors put forward </w:t>
      </w:r>
      <w:r w:rsidR="00E47F8B" w:rsidRPr="00AD2E70">
        <w:rPr>
          <w:rFonts w:ascii="Times New Roman" w:hAnsi="Times New Roman" w:cs="Times New Roman"/>
          <w:i/>
          <w:iCs/>
          <w:sz w:val="24"/>
          <w:szCs w:val="24"/>
        </w:rPr>
        <w:t>inter alia</w:t>
      </w:r>
      <w:r w:rsidR="00E47F8B" w:rsidRPr="00AD2E70">
        <w:rPr>
          <w:rFonts w:ascii="Times New Roman" w:hAnsi="Times New Roman" w:cs="Times New Roman"/>
          <w:sz w:val="24"/>
          <w:szCs w:val="24"/>
        </w:rPr>
        <w:t xml:space="preserve"> a </w:t>
      </w:r>
      <w:r w:rsidR="00EA7843" w:rsidRPr="00AD2E70">
        <w:rPr>
          <w:rFonts w:ascii="Times New Roman" w:hAnsi="Times New Roman" w:cs="Times New Roman"/>
          <w:sz w:val="24"/>
          <w:szCs w:val="24"/>
        </w:rPr>
        <w:t>defense that the</w:t>
      </w:r>
      <w:r w:rsidRPr="00AD2E70">
        <w:rPr>
          <w:rFonts w:ascii="Times New Roman" w:hAnsi="Times New Roman" w:cs="Times New Roman"/>
          <w:sz w:val="24"/>
          <w:szCs w:val="24"/>
          <w:lang w:val="en-CA"/>
        </w:rPr>
        <w:t xml:space="preserve"> summary judgment </w:t>
      </w:r>
      <w:r w:rsidR="00DD4FD6">
        <w:rPr>
          <w:rFonts w:ascii="Times New Roman" w:hAnsi="Times New Roman" w:cs="Times New Roman"/>
          <w:sz w:val="24"/>
          <w:szCs w:val="24"/>
          <w:lang w:val="en-CA"/>
        </w:rPr>
        <w:t>was</w:t>
      </w:r>
      <w:r w:rsidR="00DD4FD6" w:rsidRPr="00AD2E70">
        <w:rPr>
          <w:rFonts w:ascii="Times New Roman" w:hAnsi="Times New Roman" w:cs="Times New Roman"/>
          <w:sz w:val="24"/>
          <w:szCs w:val="24"/>
          <w:lang w:val="en-CA"/>
        </w:rPr>
        <w:t xml:space="preserve"> </w:t>
      </w:r>
      <w:r w:rsidRPr="00AD2E70">
        <w:rPr>
          <w:rFonts w:ascii="Times New Roman" w:hAnsi="Times New Roman" w:cs="Times New Roman"/>
          <w:sz w:val="24"/>
          <w:szCs w:val="24"/>
          <w:lang w:val="en-CA"/>
        </w:rPr>
        <w:t>premature</w:t>
      </w:r>
      <w:r w:rsidR="00990006" w:rsidRPr="00AD2E70">
        <w:rPr>
          <w:rFonts w:ascii="Times New Roman" w:hAnsi="Times New Roman" w:cs="Times New Roman"/>
          <w:sz w:val="24"/>
          <w:szCs w:val="24"/>
          <w:lang w:val="en-CA"/>
        </w:rPr>
        <w:t xml:space="preserve"> as </w:t>
      </w:r>
      <w:r w:rsidR="000A0F1B">
        <w:rPr>
          <w:rFonts w:ascii="Times New Roman" w:hAnsi="Times New Roman" w:cs="Times New Roman"/>
          <w:sz w:val="24"/>
          <w:szCs w:val="24"/>
          <w:lang w:val="en-CA"/>
        </w:rPr>
        <w:t>the lendor-bank refused to provide an Affidavit of Documents</w:t>
      </w:r>
      <w:r w:rsidR="00990006" w:rsidRPr="00AD2E70">
        <w:rPr>
          <w:rFonts w:ascii="Times New Roman" w:hAnsi="Times New Roman" w:cs="Times New Roman"/>
          <w:sz w:val="24"/>
          <w:szCs w:val="24"/>
          <w:lang w:val="en-CA"/>
        </w:rPr>
        <w:t xml:space="preserve"> and the outstanding documents may support the defences raised</w:t>
      </w:r>
      <w:r w:rsidR="00E47F8B" w:rsidRPr="00AD2E70">
        <w:rPr>
          <w:rFonts w:ascii="Times New Roman" w:hAnsi="Times New Roman" w:cs="Times New Roman"/>
          <w:sz w:val="24"/>
          <w:szCs w:val="24"/>
          <w:lang w:val="en-CA"/>
        </w:rPr>
        <w:t>.</w:t>
      </w:r>
      <w:r w:rsidR="00990006" w:rsidRPr="00AD2E70">
        <w:rPr>
          <w:rStyle w:val="FootnoteReference"/>
          <w:rFonts w:ascii="Times New Roman" w:hAnsi="Times New Roman" w:cs="Times New Roman"/>
          <w:sz w:val="24"/>
          <w:szCs w:val="24"/>
          <w:lang w:val="en-CA"/>
        </w:rPr>
        <w:footnoteReference w:id="13"/>
      </w:r>
      <w:r w:rsidR="000A0F1B">
        <w:rPr>
          <w:rFonts w:ascii="Times New Roman" w:hAnsi="Times New Roman" w:cs="Times New Roman"/>
          <w:sz w:val="24"/>
          <w:szCs w:val="24"/>
          <w:lang w:val="en-CA"/>
        </w:rPr>
        <w:t xml:space="preserve"> Not surprisingly, the Court did not </w:t>
      </w:r>
      <w:r w:rsidR="00DD4FD6">
        <w:rPr>
          <w:rFonts w:ascii="Times New Roman" w:hAnsi="Times New Roman" w:cs="Times New Roman"/>
          <w:sz w:val="24"/>
          <w:szCs w:val="24"/>
          <w:lang w:val="en-CA"/>
        </w:rPr>
        <w:t>accept</w:t>
      </w:r>
      <w:r w:rsidR="000A0F1B">
        <w:rPr>
          <w:rFonts w:ascii="Times New Roman" w:hAnsi="Times New Roman" w:cs="Times New Roman"/>
          <w:sz w:val="24"/>
          <w:szCs w:val="24"/>
          <w:lang w:val="en-CA"/>
        </w:rPr>
        <w:t xml:space="preserve"> this defence and highlighted that </w:t>
      </w:r>
      <w:r w:rsidR="00353D78">
        <w:rPr>
          <w:rFonts w:ascii="Times New Roman" w:hAnsi="Times New Roman" w:cs="Times New Roman"/>
          <w:sz w:val="24"/>
          <w:szCs w:val="24"/>
          <w:lang w:val="en-CA"/>
        </w:rPr>
        <w:t>“[b]</w:t>
      </w:r>
      <w:r w:rsidR="00353D78" w:rsidRPr="000A0F1B">
        <w:rPr>
          <w:rFonts w:ascii="Times New Roman" w:hAnsi="Times New Roman" w:cs="Times New Roman"/>
          <w:sz w:val="24"/>
          <w:szCs w:val="24"/>
          <w:lang w:val="en-CA"/>
        </w:rPr>
        <w:t>ald assertions as to what might be are not proper responses</w:t>
      </w:r>
      <w:r w:rsidR="00353D78">
        <w:rPr>
          <w:rFonts w:ascii="Times New Roman" w:hAnsi="Times New Roman" w:cs="Times New Roman"/>
          <w:sz w:val="24"/>
          <w:szCs w:val="24"/>
          <w:lang w:val="en-CA"/>
        </w:rPr>
        <w:t>” to a motion for summary judgment</w:t>
      </w:r>
      <w:r w:rsidR="004E1E11">
        <w:rPr>
          <w:rFonts w:ascii="Times New Roman" w:hAnsi="Times New Roman" w:cs="Times New Roman"/>
          <w:sz w:val="24"/>
          <w:szCs w:val="24"/>
          <w:lang w:val="en-CA"/>
        </w:rPr>
        <w:t xml:space="preserve">. </w:t>
      </w:r>
      <w:r w:rsidR="009944F4">
        <w:rPr>
          <w:rFonts w:ascii="Times New Roman" w:hAnsi="Times New Roman" w:cs="Times New Roman"/>
          <w:sz w:val="24"/>
          <w:szCs w:val="24"/>
          <w:lang w:val="en-CA"/>
        </w:rPr>
        <w:t xml:space="preserve">The overall attitude Courts have towards </w:t>
      </w:r>
      <w:r w:rsidR="009944F4">
        <w:rPr>
          <w:rFonts w:ascii="Times New Roman" w:hAnsi="Times New Roman" w:cs="Times New Roman"/>
          <w:sz w:val="24"/>
          <w:szCs w:val="24"/>
          <w:lang w:val="en-CA"/>
        </w:rPr>
        <w:lastRenderedPageBreak/>
        <w:t>meritless defences was</w:t>
      </w:r>
      <w:r w:rsidR="00383D54" w:rsidRPr="00AD2E70">
        <w:rPr>
          <w:rFonts w:ascii="Times New Roman" w:hAnsi="Times New Roman" w:cs="Times New Roman"/>
          <w:sz w:val="24"/>
          <w:szCs w:val="24"/>
          <w:lang w:val="en-CA"/>
        </w:rPr>
        <w:t xml:space="preserve"> </w:t>
      </w:r>
      <w:r w:rsidR="005B2CD1" w:rsidRPr="00AD2E70">
        <w:rPr>
          <w:rFonts w:ascii="Times New Roman" w:hAnsi="Times New Roman" w:cs="Times New Roman"/>
          <w:sz w:val="24"/>
          <w:szCs w:val="24"/>
          <w:lang w:val="en-CA"/>
        </w:rPr>
        <w:t>articulated</w:t>
      </w:r>
      <w:r w:rsidR="00E47F8B" w:rsidRPr="00AD2E70">
        <w:rPr>
          <w:rFonts w:ascii="Times New Roman" w:hAnsi="Times New Roman" w:cs="Times New Roman"/>
          <w:sz w:val="24"/>
          <w:szCs w:val="24"/>
          <w:lang w:val="en-CA"/>
        </w:rPr>
        <w:t xml:space="preserve"> </w:t>
      </w:r>
      <w:r w:rsidR="009944F4">
        <w:rPr>
          <w:rFonts w:ascii="Times New Roman" w:hAnsi="Times New Roman" w:cs="Times New Roman"/>
          <w:sz w:val="24"/>
          <w:szCs w:val="24"/>
          <w:lang w:val="en-CA"/>
        </w:rPr>
        <w:t xml:space="preserve">well </w:t>
      </w:r>
      <w:r w:rsidR="00E47F8B" w:rsidRPr="00AD2E70">
        <w:rPr>
          <w:rFonts w:ascii="Times New Roman" w:hAnsi="Times New Roman" w:cs="Times New Roman"/>
          <w:sz w:val="24"/>
          <w:szCs w:val="24"/>
          <w:lang w:val="en-CA"/>
        </w:rPr>
        <w:t>by Justice B.A. Allen of the Ontario Superior Court of Justice</w:t>
      </w:r>
      <w:r w:rsidR="005B2CD1" w:rsidRPr="00AD2E70">
        <w:rPr>
          <w:rFonts w:ascii="Times New Roman" w:hAnsi="Times New Roman" w:cs="Times New Roman"/>
          <w:sz w:val="24"/>
          <w:szCs w:val="24"/>
          <w:lang w:val="en-CA"/>
        </w:rPr>
        <w:t xml:space="preserve"> in </w:t>
      </w:r>
      <w:r w:rsidR="005B2CD1" w:rsidRPr="00AD2E70">
        <w:rPr>
          <w:rFonts w:ascii="Times New Roman" w:hAnsi="Times New Roman" w:cs="Times New Roman"/>
          <w:i/>
          <w:iCs/>
          <w:sz w:val="24"/>
          <w:szCs w:val="24"/>
          <w:lang w:val="en-CA"/>
        </w:rPr>
        <w:t>Bank of Nova Scotia v. 8405751 Canada Corp.</w:t>
      </w:r>
      <w:r w:rsidR="005B2CD1" w:rsidRPr="00AD2E70">
        <w:rPr>
          <w:rFonts w:ascii="Times New Roman" w:hAnsi="Times New Roman" w:cs="Times New Roman"/>
          <w:sz w:val="24"/>
          <w:szCs w:val="24"/>
          <w:lang w:val="en-CA"/>
        </w:rPr>
        <w:t xml:space="preserve">, </w:t>
      </w:r>
      <w:r w:rsidR="00383D54">
        <w:rPr>
          <w:rFonts w:ascii="Times New Roman" w:hAnsi="Times New Roman" w:cs="Times New Roman"/>
          <w:sz w:val="24"/>
          <w:szCs w:val="24"/>
          <w:lang w:val="en-CA"/>
        </w:rPr>
        <w:t xml:space="preserve">which </w:t>
      </w:r>
      <w:r w:rsidR="005B2CD1" w:rsidRPr="00AD2E70">
        <w:rPr>
          <w:rFonts w:ascii="Times New Roman" w:hAnsi="Times New Roman" w:cs="Times New Roman"/>
          <w:sz w:val="24"/>
          <w:szCs w:val="24"/>
          <w:lang w:val="en-CA"/>
        </w:rPr>
        <w:t>echo</w:t>
      </w:r>
      <w:r w:rsidR="00A9612C" w:rsidRPr="00AD2E70">
        <w:rPr>
          <w:rFonts w:ascii="Times New Roman" w:hAnsi="Times New Roman" w:cs="Times New Roman"/>
          <w:sz w:val="24"/>
          <w:szCs w:val="24"/>
          <w:lang w:val="en-CA"/>
        </w:rPr>
        <w:t>e</w:t>
      </w:r>
      <w:r w:rsidR="005B2CD1" w:rsidRPr="00AD2E70">
        <w:rPr>
          <w:rFonts w:ascii="Times New Roman" w:hAnsi="Times New Roman" w:cs="Times New Roman"/>
          <w:sz w:val="24"/>
          <w:szCs w:val="24"/>
          <w:lang w:val="en-CA"/>
        </w:rPr>
        <w:t xml:space="preserve">s </w:t>
      </w:r>
      <w:r w:rsidR="00D55157" w:rsidRPr="00AD2E70">
        <w:rPr>
          <w:rFonts w:ascii="Times New Roman" w:hAnsi="Times New Roman" w:cs="Times New Roman"/>
          <w:sz w:val="24"/>
          <w:szCs w:val="24"/>
          <w:lang w:val="en-CA"/>
        </w:rPr>
        <w:t>similar statements made by</w:t>
      </w:r>
      <w:r w:rsidR="005B2CD1" w:rsidRPr="00AD2E70">
        <w:rPr>
          <w:rFonts w:ascii="Times New Roman" w:hAnsi="Times New Roman" w:cs="Times New Roman"/>
          <w:sz w:val="24"/>
          <w:szCs w:val="24"/>
          <w:lang w:val="en-CA"/>
        </w:rPr>
        <w:t xml:space="preserve"> </w:t>
      </w:r>
      <w:r w:rsidR="006028AC">
        <w:rPr>
          <w:rFonts w:ascii="Times New Roman" w:hAnsi="Times New Roman" w:cs="Times New Roman"/>
          <w:sz w:val="24"/>
          <w:szCs w:val="24"/>
          <w:lang w:val="en-CA"/>
        </w:rPr>
        <w:t>c</w:t>
      </w:r>
      <w:r w:rsidR="005B2CD1" w:rsidRPr="00AD2E70">
        <w:rPr>
          <w:rFonts w:ascii="Times New Roman" w:hAnsi="Times New Roman" w:cs="Times New Roman"/>
          <w:sz w:val="24"/>
          <w:szCs w:val="24"/>
          <w:lang w:val="en-CA"/>
        </w:rPr>
        <w:t>ourts</w:t>
      </w:r>
      <w:r w:rsidR="00D55157" w:rsidRPr="00AD2E70">
        <w:rPr>
          <w:rFonts w:ascii="Times New Roman" w:hAnsi="Times New Roman" w:cs="Times New Roman"/>
          <w:sz w:val="24"/>
          <w:szCs w:val="24"/>
          <w:lang w:val="en-CA"/>
        </w:rPr>
        <w:t xml:space="preserve"> across the country</w:t>
      </w:r>
      <w:r w:rsidR="00E47F8B" w:rsidRPr="00AD2E70">
        <w:rPr>
          <w:rFonts w:ascii="Times New Roman" w:hAnsi="Times New Roman" w:cs="Times New Roman"/>
          <w:sz w:val="24"/>
          <w:szCs w:val="24"/>
          <w:lang w:val="en-CA"/>
        </w:rPr>
        <w:t xml:space="preserve">: </w:t>
      </w:r>
    </w:p>
    <w:p w14:paraId="0082B458" w14:textId="14D42B73" w:rsidR="00E47F8B" w:rsidRPr="00AD2E70" w:rsidRDefault="00E47F8B" w:rsidP="00AD2E70">
      <w:pPr>
        <w:pStyle w:val="RSBulletedList"/>
        <w:numPr>
          <w:ilvl w:val="0"/>
          <w:numId w:val="0"/>
        </w:numPr>
        <w:tabs>
          <w:tab w:val="clear" w:pos="1701"/>
          <w:tab w:val="left" w:pos="709"/>
          <w:tab w:val="left" w:pos="1418"/>
        </w:tabs>
        <w:spacing w:line="276" w:lineRule="auto"/>
        <w:ind w:left="1134" w:right="855"/>
        <w:rPr>
          <w:color w:val="212121"/>
        </w:rPr>
      </w:pPr>
      <w:r w:rsidRPr="00AD2E70">
        <w:rPr>
          <w:color w:val="212121"/>
        </w:rPr>
        <w:t>47      The Defendants did not put their best foot forward in defending this motion. Or perhaps that was their best foot but their best foot was not good enough. Their denials and allegations are devoid of support on the evidentiary record before the court. The legal arguments advanced by the Defendants are unsubstantiated by the evidence.</w:t>
      </w:r>
      <w:r w:rsidR="005B2CD1" w:rsidRPr="00AD2E70">
        <w:rPr>
          <w:rStyle w:val="FootnoteReference"/>
          <w:color w:val="212121"/>
        </w:rPr>
        <w:footnoteReference w:id="14"/>
      </w:r>
    </w:p>
    <w:p w14:paraId="07B3319B" w14:textId="1015FF01" w:rsidR="00E47F8B" w:rsidRPr="00AD2E70" w:rsidRDefault="00E47F8B" w:rsidP="00AB4BC4">
      <w:pPr>
        <w:spacing w:after="0"/>
        <w:jc w:val="both"/>
        <w:rPr>
          <w:rFonts w:ascii="Times New Roman" w:hAnsi="Times New Roman" w:cs="Times New Roman"/>
          <w:sz w:val="24"/>
          <w:szCs w:val="24"/>
          <w:lang w:val="en-CA"/>
        </w:rPr>
      </w:pPr>
    </w:p>
    <w:p w14:paraId="36E486BB" w14:textId="3B18091F" w:rsidR="00D55157" w:rsidRPr="00AD2E70" w:rsidRDefault="00D55157" w:rsidP="00AD2E70">
      <w:pPr>
        <w:jc w:val="both"/>
        <w:rPr>
          <w:rFonts w:ascii="Times New Roman" w:hAnsi="Times New Roman" w:cs="Times New Roman"/>
          <w:sz w:val="24"/>
          <w:szCs w:val="24"/>
        </w:rPr>
      </w:pPr>
      <w:r w:rsidRPr="00AD2E70">
        <w:rPr>
          <w:rFonts w:ascii="Times New Roman" w:hAnsi="Times New Roman" w:cs="Times New Roman"/>
          <w:sz w:val="24"/>
          <w:szCs w:val="24"/>
          <w:lang w:val="en-CA"/>
        </w:rPr>
        <w:t xml:space="preserve">The third and final reoccurring </w:t>
      </w:r>
      <w:r w:rsidR="00A9612C" w:rsidRPr="00AD2E70">
        <w:rPr>
          <w:rFonts w:ascii="Times New Roman" w:hAnsi="Times New Roman" w:cs="Times New Roman"/>
          <w:sz w:val="24"/>
          <w:szCs w:val="24"/>
          <w:lang w:val="en-CA"/>
        </w:rPr>
        <w:t>factor the Courts</w:t>
      </w:r>
      <w:r w:rsidR="00383D54">
        <w:rPr>
          <w:rFonts w:ascii="Times New Roman" w:hAnsi="Times New Roman" w:cs="Times New Roman"/>
          <w:sz w:val="24"/>
          <w:szCs w:val="24"/>
          <w:lang w:val="en-CA"/>
        </w:rPr>
        <w:t xml:space="preserve"> often consider</w:t>
      </w:r>
      <w:r w:rsidR="00A9612C" w:rsidRPr="00AD2E70">
        <w:rPr>
          <w:rFonts w:ascii="Times New Roman" w:hAnsi="Times New Roman" w:cs="Times New Roman"/>
          <w:sz w:val="24"/>
          <w:szCs w:val="24"/>
          <w:lang w:val="en-CA"/>
        </w:rPr>
        <w:t xml:space="preserve"> is the education and commercial sophistication of the guarantors.</w:t>
      </w:r>
      <w:r w:rsidR="006C4B43" w:rsidRPr="00AD2E70">
        <w:rPr>
          <w:rStyle w:val="FootnoteReference"/>
          <w:rFonts w:ascii="Times New Roman" w:hAnsi="Times New Roman" w:cs="Times New Roman"/>
          <w:sz w:val="24"/>
          <w:szCs w:val="24"/>
          <w:lang w:val="en-CA"/>
        </w:rPr>
        <w:footnoteReference w:id="15"/>
      </w:r>
      <w:r w:rsidR="00A9612C" w:rsidRPr="00AD2E70">
        <w:rPr>
          <w:rFonts w:ascii="Times New Roman" w:hAnsi="Times New Roman" w:cs="Times New Roman"/>
          <w:sz w:val="24"/>
          <w:szCs w:val="24"/>
          <w:lang w:val="en-CA"/>
        </w:rPr>
        <w:t xml:space="preserve"> </w:t>
      </w:r>
      <w:r w:rsidR="006C4B43" w:rsidRPr="00AD2E70">
        <w:rPr>
          <w:rFonts w:ascii="Times New Roman" w:hAnsi="Times New Roman" w:cs="Times New Roman"/>
          <w:sz w:val="24"/>
          <w:szCs w:val="24"/>
          <w:lang w:val="en-CA"/>
        </w:rPr>
        <w:t>In a</w:t>
      </w:r>
      <w:r w:rsidR="00A9612C" w:rsidRPr="00AD2E70">
        <w:rPr>
          <w:rFonts w:ascii="Times New Roman" w:hAnsi="Times New Roman" w:cs="Times New Roman"/>
          <w:sz w:val="24"/>
          <w:szCs w:val="24"/>
          <w:lang w:val="en-CA"/>
        </w:rPr>
        <w:t xml:space="preserve"> </w:t>
      </w:r>
      <w:r w:rsidR="00353D78">
        <w:rPr>
          <w:rFonts w:ascii="Times New Roman" w:hAnsi="Times New Roman" w:cs="Times New Roman"/>
          <w:sz w:val="24"/>
          <w:szCs w:val="24"/>
          <w:lang w:val="en-CA"/>
        </w:rPr>
        <w:t xml:space="preserve">motion for </w:t>
      </w:r>
      <w:r w:rsidR="00A9612C" w:rsidRPr="00AD2E70">
        <w:rPr>
          <w:rFonts w:ascii="Times New Roman" w:hAnsi="Times New Roman" w:cs="Times New Roman"/>
          <w:sz w:val="24"/>
          <w:szCs w:val="24"/>
          <w:lang w:val="en-CA"/>
        </w:rPr>
        <w:t>summary judgment</w:t>
      </w:r>
      <w:r w:rsidR="006C4B43" w:rsidRPr="00AD2E70">
        <w:rPr>
          <w:rFonts w:ascii="Times New Roman" w:hAnsi="Times New Roman" w:cs="Times New Roman"/>
          <w:sz w:val="24"/>
          <w:szCs w:val="24"/>
          <w:lang w:val="en-CA"/>
        </w:rPr>
        <w:t xml:space="preserve">, this factor can give trial judges a greater sense of comfort when they attempt to simplify the personal guarantee proceedings. The education and commercial sophistication of a guarantor can help indicate to a Court that the guarantor was aware of what they were signing and understood the consequences. For example, in </w:t>
      </w:r>
      <w:r w:rsidR="006B1ECA" w:rsidRPr="00AD2E70">
        <w:rPr>
          <w:rFonts w:ascii="Times New Roman" w:hAnsi="Times New Roman" w:cs="Times New Roman"/>
          <w:i/>
          <w:iCs/>
          <w:sz w:val="24"/>
          <w:szCs w:val="24"/>
        </w:rPr>
        <w:t>Toronto-Dominion Bank v. Island Heat Tanning Centers Inc</w:t>
      </w:r>
      <w:r w:rsidR="006B1ECA" w:rsidRPr="00AD2E70">
        <w:rPr>
          <w:rFonts w:ascii="Times New Roman" w:hAnsi="Times New Roman" w:cs="Times New Roman"/>
          <w:sz w:val="24"/>
          <w:szCs w:val="24"/>
        </w:rPr>
        <w:t>, the Court found the guarantors “were not illiterate, inexperienced individuals with no knowledge of how loans operated… [r]ather, [the guarantors] were experienced businessmen who had an on-going relationship with the Plaintiff bank”.</w:t>
      </w:r>
      <w:r w:rsidR="006B1ECA" w:rsidRPr="00AD2E70">
        <w:rPr>
          <w:rStyle w:val="FootnoteReference"/>
          <w:rFonts w:ascii="Times New Roman" w:hAnsi="Times New Roman" w:cs="Times New Roman"/>
          <w:sz w:val="24"/>
          <w:szCs w:val="24"/>
        </w:rPr>
        <w:footnoteReference w:id="16"/>
      </w:r>
      <w:r w:rsidR="006B1ECA" w:rsidRPr="00AD2E70">
        <w:rPr>
          <w:rFonts w:ascii="Times New Roman" w:hAnsi="Times New Roman" w:cs="Times New Roman"/>
          <w:sz w:val="24"/>
          <w:szCs w:val="24"/>
        </w:rPr>
        <w:t xml:space="preserve"> In </w:t>
      </w:r>
      <w:r w:rsidR="006B1ECA" w:rsidRPr="00AD2E70">
        <w:rPr>
          <w:rFonts w:ascii="Times New Roman" w:hAnsi="Times New Roman" w:cs="Times New Roman"/>
          <w:i/>
          <w:iCs/>
          <w:sz w:val="24"/>
          <w:szCs w:val="24"/>
        </w:rPr>
        <w:t>22 King St</w:t>
      </w:r>
      <w:r w:rsidR="006B1ECA" w:rsidRPr="00AD2E70">
        <w:rPr>
          <w:rFonts w:ascii="Times New Roman" w:hAnsi="Times New Roman" w:cs="Times New Roman"/>
          <w:sz w:val="24"/>
          <w:szCs w:val="24"/>
        </w:rPr>
        <w:t>., the Court was satisfied there was no genuine or triable issue because the guarantors undertook liability for the debtor freely and with an acknowledged level of sophistication.</w:t>
      </w:r>
      <w:r w:rsidR="006B1ECA" w:rsidRPr="00AD2E70">
        <w:rPr>
          <w:rStyle w:val="FootnoteReference"/>
          <w:rFonts w:ascii="Times New Roman" w:hAnsi="Times New Roman" w:cs="Times New Roman"/>
          <w:sz w:val="24"/>
          <w:szCs w:val="24"/>
        </w:rPr>
        <w:footnoteReference w:id="17"/>
      </w:r>
      <w:r w:rsidR="00353D78">
        <w:rPr>
          <w:rFonts w:ascii="Times New Roman" w:hAnsi="Times New Roman" w:cs="Times New Roman"/>
          <w:sz w:val="24"/>
          <w:szCs w:val="24"/>
        </w:rPr>
        <w:t xml:space="preserve"> While this third factor plays a somewhat lesser role as compared to factors one and two, courts across Canada continuously point to it as an contributing factor to find a personal guarantee valid and </w:t>
      </w:r>
      <w:r w:rsidR="004C2059">
        <w:rPr>
          <w:rFonts w:ascii="Times New Roman" w:hAnsi="Times New Roman" w:cs="Times New Roman"/>
          <w:sz w:val="24"/>
          <w:szCs w:val="24"/>
        </w:rPr>
        <w:t>enforceable</w:t>
      </w:r>
      <w:r w:rsidR="00353D78">
        <w:rPr>
          <w:rFonts w:ascii="Times New Roman" w:hAnsi="Times New Roman" w:cs="Times New Roman"/>
          <w:sz w:val="24"/>
          <w:szCs w:val="24"/>
        </w:rPr>
        <w:t xml:space="preserve">.   </w:t>
      </w:r>
    </w:p>
    <w:p w14:paraId="42D37F12" w14:textId="034CB0CA" w:rsidR="00626679" w:rsidRPr="00AD2E70" w:rsidRDefault="00FE7894" w:rsidP="00AD2E70">
      <w:pPr>
        <w:jc w:val="both"/>
        <w:rPr>
          <w:rFonts w:ascii="Times New Roman" w:hAnsi="Times New Roman" w:cs="Times New Roman"/>
          <w:sz w:val="24"/>
          <w:szCs w:val="24"/>
        </w:rPr>
      </w:pPr>
      <w:r w:rsidRPr="00AD2E70">
        <w:rPr>
          <w:rFonts w:ascii="Times New Roman" w:hAnsi="Times New Roman" w:cs="Times New Roman"/>
          <w:sz w:val="24"/>
          <w:szCs w:val="24"/>
        </w:rPr>
        <w:t xml:space="preserve">One of the various underlying principles of </w:t>
      </w:r>
      <w:r w:rsidRPr="00AD2E70">
        <w:rPr>
          <w:rFonts w:ascii="Times New Roman" w:hAnsi="Times New Roman" w:cs="Times New Roman"/>
          <w:i/>
          <w:iCs/>
          <w:sz w:val="24"/>
          <w:szCs w:val="24"/>
        </w:rPr>
        <w:t>Hryniak</w:t>
      </w:r>
      <w:r w:rsidR="009944F4">
        <w:rPr>
          <w:rFonts w:ascii="Times New Roman" w:hAnsi="Times New Roman" w:cs="Times New Roman"/>
          <w:sz w:val="24"/>
          <w:szCs w:val="24"/>
        </w:rPr>
        <w:t xml:space="preserve"> </w:t>
      </w:r>
      <w:r w:rsidRPr="00AD2E70">
        <w:rPr>
          <w:rFonts w:ascii="Times New Roman" w:hAnsi="Times New Roman" w:cs="Times New Roman"/>
          <w:sz w:val="24"/>
          <w:szCs w:val="24"/>
        </w:rPr>
        <w:t>is that there will be no genuine issue requiring a trial when the judge is able to reach a fair and just determination on the merits on a motion for summary judgment.</w:t>
      </w:r>
      <w:r w:rsidRPr="00AD2E70">
        <w:rPr>
          <w:rStyle w:val="FootnoteReference"/>
          <w:rFonts w:ascii="Times New Roman" w:hAnsi="Times New Roman" w:cs="Times New Roman"/>
          <w:sz w:val="24"/>
          <w:szCs w:val="24"/>
        </w:rPr>
        <w:footnoteReference w:id="18"/>
      </w:r>
      <w:r w:rsidR="004E7AD9" w:rsidRPr="00AD2E70">
        <w:rPr>
          <w:rFonts w:ascii="Times New Roman" w:hAnsi="Times New Roman" w:cs="Times New Roman"/>
          <w:sz w:val="24"/>
          <w:szCs w:val="24"/>
        </w:rPr>
        <w:t xml:space="preserve"> With this principle in mind, it seems summary judgments </w:t>
      </w:r>
      <w:r w:rsidR="00383D54">
        <w:rPr>
          <w:rFonts w:ascii="Times New Roman" w:hAnsi="Times New Roman" w:cs="Times New Roman"/>
          <w:sz w:val="24"/>
          <w:szCs w:val="24"/>
        </w:rPr>
        <w:t>are particularly well-suited</w:t>
      </w:r>
      <w:r w:rsidR="00353D78">
        <w:rPr>
          <w:rFonts w:ascii="Times New Roman" w:hAnsi="Times New Roman" w:cs="Times New Roman"/>
          <w:sz w:val="24"/>
          <w:szCs w:val="24"/>
        </w:rPr>
        <w:t xml:space="preserve"> </w:t>
      </w:r>
      <w:r w:rsidR="004E7AD9" w:rsidRPr="00AD2E70">
        <w:rPr>
          <w:rFonts w:ascii="Times New Roman" w:hAnsi="Times New Roman" w:cs="Times New Roman"/>
          <w:sz w:val="24"/>
          <w:szCs w:val="24"/>
        </w:rPr>
        <w:t xml:space="preserve">for </w:t>
      </w:r>
      <w:r w:rsidR="00383D54">
        <w:rPr>
          <w:rFonts w:ascii="Times New Roman" w:hAnsi="Times New Roman" w:cs="Times New Roman"/>
          <w:sz w:val="24"/>
          <w:szCs w:val="24"/>
        </w:rPr>
        <w:t xml:space="preserve">actions to enforce </w:t>
      </w:r>
      <w:r w:rsidR="004E7AD9" w:rsidRPr="00AD2E70">
        <w:rPr>
          <w:rFonts w:ascii="Times New Roman" w:hAnsi="Times New Roman" w:cs="Times New Roman"/>
          <w:sz w:val="24"/>
          <w:szCs w:val="24"/>
        </w:rPr>
        <w:t xml:space="preserve">personal guarantees. When a personal guarantee is signed by sophisticated parties and has clear, unambiguous language and </w:t>
      </w:r>
      <w:r w:rsidR="00353D78">
        <w:rPr>
          <w:rFonts w:ascii="Times New Roman" w:hAnsi="Times New Roman" w:cs="Times New Roman"/>
          <w:sz w:val="24"/>
          <w:szCs w:val="24"/>
        </w:rPr>
        <w:t xml:space="preserve">the guarantor has produced </w:t>
      </w:r>
      <w:r w:rsidR="004E7AD9" w:rsidRPr="00AD2E70">
        <w:rPr>
          <w:rFonts w:ascii="Times New Roman" w:hAnsi="Times New Roman" w:cs="Times New Roman"/>
          <w:sz w:val="24"/>
          <w:szCs w:val="24"/>
        </w:rPr>
        <w:t xml:space="preserve">no evidence to the contrary, a Court is able to reach a fair and just determination on the merits of the guarantee. Anything in the alternative would defeat the fundamental purpose of a </w:t>
      </w:r>
      <w:r w:rsidR="00353D78">
        <w:rPr>
          <w:rFonts w:ascii="Times New Roman" w:hAnsi="Times New Roman" w:cs="Times New Roman"/>
          <w:sz w:val="24"/>
          <w:szCs w:val="24"/>
        </w:rPr>
        <w:t xml:space="preserve">personal </w:t>
      </w:r>
      <w:r w:rsidR="004E7AD9" w:rsidRPr="00AD2E70">
        <w:rPr>
          <w:rFonts w:ascii="Times New Roman" w:hAnsi="Times New Roman" w:cs="Times New Roman"/>
          <w:sz w:val="24"/>
          <w:szCs w:val="24"/>
        </w:rPr>
        <w:t xml:space="preserve">guarantee and compromise the process of fair and just adjudication offered by summary judgments.   </w:t>
      </w:r>
      <w:r w:rsidR="00E62E83" w:rsidRPr="00AD2E70">
        <w:rPr>
          <w:rFonts w:ascii="Times New Roman" w:hAnsi="Times New Roman" w:cs="Times New Roman"/>
          <w:sz w:val="24"/>
          <w:szCs w:val="24"/>
          <w:lang w:val="en-CA"/>
        </w:rPr>
        <w:t xml:space="preserve"> </w:t>
      </w:r>
    </w:p>
    <w:sectPr w:rsidR="00626679" w:rsidRPr="00AD2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EC62E" w14:textId="77777777" w:rsidR="00960EF7" w:rsidRDefault="00960EF7" w:rsidP="00484C1E">
      <w:pPr>
        <w:spacing w:after="0" w:line="240" w:lineRule="auto"/>
      </w:pPr>
      <w:r>
        <w:separator/>
      </w:r>
    </w:p>
  </w:endnote>
  <w:endnote w:type="continuationSeparator" w:id="0">
    <w:p w14:paraId="6016EC31" w14:textId="77777777" w:rsidR="00960EF7" w:rsidRDefault="00960EF7" w:rsidP="0048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D6A36" w14:textId="77777777" w:rsidR="00960EF7" w:rsidRDefault="00960EF7" w:rsidP="00484C1E">
      <w:pPr>
        <w:spacing w:after="0" w:line="240" w:lineRule="auto"/>
      </w:pPr>
      <w:r>
        <w:separator/>
      </w:r>
    </w:p>
  </w:footnote>
  <w:footnote w:type="continuationSeparator" w:id="0">
    <w:p w14:paraId="3057B789" w14:textId="77777777" w:rsidR="00960EF7" w:rsidRDefault="00960EF7" w:rsidP="00484C1E">
      <w:pPr>
        <w:spacing w:after="0" w:line="240" w:lineRule="auto"/>
      </w:pPr>
      <w:r>
        <w:continuationSeparator/>
      </w:r>
    </w:p>
  </w:footnote>
  <w:footnote w:id="1">
    <w:p w14:paraId="71997F8E" w14:textId="20CF62F1" w:rsidR="00484C1E" w:rsidRPr="00AD2E70" w:rsidRDefault="00484C1E">
      <w:pPr>
        <w:pStyle w:val="FootnoteText"/>
        <w:rPr>
          <w:rFonts w:ascii="Times New Roman" w:hAnsi="Times New Roman" w:cs="Times New Roman"/>
          <w:lang w:val="fr-FR"/>
        </w:rPr>
      </w:pPr>
      <w:r w:rsidRPr="00AD2E70">
        <w:rPr>
          <w:rStyle w:val="FootnoteReference"/>
          <w:rFonts w:ascii="Times New Roman" w:hAnsi="Times New Roman" w:cs="Times New Roman"/>
        </w:rPr>
        <w:footnoteRef/>
      </w:r>
      <w:r w:rsidRPr="00AD2E70">
        <w:rPr>
          <w:rFonts w:ascii="Times New Roman" w:hAnsi="Times New Roman" w:cs="Times New Roman"/>
          <w:lang w:val="fr-FR"/>
        </w:rPr>
        <w:t xml:space="preserve"> 2017 SCC 77 [</w:t>
      </w:r>
      <w:r w:rsidRPr="00AD2E70">
        <w:rPr>
          <w:rFonts w:ascii="Times New Roman" w:hAnsi="Times New Roman" w:cs="Times New Roman"/>
          <w:i/>
          <w:iCs/>
          <w:lang w:val="fr-FR"/>
        </w:rPr>
        <w:t>Hryniak</w:t>
      </w:r>
      <w:r w:rsidRPr="00AD2E70">
        <w:rPr>
          <w:rFonts w:ascii="Times New Roman" w:hAnsi="Times New Roman" w:cs="Times New Roman"/>
          <w:lang w:val="fr-FR"/>
        </w:rPr>
        <w:t>]</w:t>
      </w:r>
      <w:r w:rsidR="006B1ECA" w:rsidRPr="00AD2E70">
        <w:rPr>
          <w:rFonts w:ascii="Times New Roman" w:hAnsi="Times New Roman" w:cs="Times New Roman"/>
          <w:lang w:val="fr-FR"/>
        </w:rPr>
        <w:t>.</w:t>
      </w:r>
    </w:p>
  </w:footnote>
  <w:footnote w:id="2">
    <w:p w14:paraId="3E588CD7" w14:textId="77777777" w:rsidR="00C172C0" w:rsidRPr="004C2059" w:rsidRDefault="00C172C0" w:rsidP="00C172C0">
      <w:pPr>
        <w:pStyle w:val="FootnoteText"/>
        <w:rPr>
          <w:rFonts w:ascii="Times New Roman" w:hAnsi="Times New Roman" w:cs="Times New Roman"/>
          <w:lang w:val="fr-FR"/>
        </w:rPr>
      </w:pPr>
      <w:r w:rsidRPr="00AD2E70">
        <w:rPr>
          <w:rStyle w:val="FootnoteReference"/>
          <w:rFonts w:ascii="Times New Roman" w:hAnsi="Times New Roman" w:cs="Times New Roman"/>
        </w:rPr>
        <w:footnoteRef/>
      </w:r>
      <w:r w:rsidRPr="004C2059">
        <w:rPr>
          <w:rFonts w:ascii="Times New Roman" w:hAnsi="Times New Roman" w:cs="Times New Roman"/>
          <w:lang w:val="fr-FR"/>
        </w:rPr>
        <w:t xml:space="preserve"> </w:t>
      </w:r>
      <w:r w:rsidRPr="004C2059">
        <w:rPr>
          <w:rFonts w:ascii="Times New Roman" w:hAnsi="Times New Roman" w:cs="Times New Roman"/>
          <w:i/>
          <w:iCs/>
          <w:lang w:val="fr-FR"/>
        </w:rPr>
        <w:t>BNS v Compas</w:t>
      </w:r>
      <w:r w:rsidRPr="004C2059">
        <w:rPr>
          <w:rFonts w:ascii="Times New Roman" w:hAnsi="Times New Roman" w:cs="Times New Roman"/>
          <w:lang w:val="fr-FR"/>
        </w:rPr>
        <w:t>, 2018 ONSC 3262.</w:t>
      </w:r>
    </w:p>
  </w:footnote>
  <w:footnote w:id="3">
    <w:p w14:paraId="667EFD3D" w14:textId="4F137837" w:rsidR="00484C1E" w:rsidRPr="00AD2E70" w:rsidRDefault="00484C1E">
      <w:pPr>
        <w:pStyle w:val="FootnoteText"/>
        <w:rPr>
          <w:rFonts w:ascii="Times New Roman" w:hAnsi="Times New Roman" w:cs="Times New Roman"/>
          <w:lang w:val="en-CA"/>
        </w:rPr>
      </w:pPr>
      <w:r w:rsidRPr="00AD2E70">
        <w:rPr>
          <w:rStyle w:val="FootnoteReference"/>
          <w:rFonts w:ascii="Times New Roman" w:hAnsi="Times New Roman" w:cs="Times New Roman"/>
        </w:rPr>
        <w:footnoteRef/>
      </w:r>
      <w:r w:rsidRPr="00AD2E70">
        <w:rPr>
          <w:rFonts w:ascii="Times New Roman" w:hAnsi="Times New Roman" w:cs="Times New Roman"/>
        </w:rPr>
        <w:t xml:space="preserve"> </w:t>
      </w:r>
      <w:r w:rsidRPr="00AD2E70">
        <w:rPr>
          <w:rFonts w:ascii="Times New Roman" w:hAnsi="Times New Roman" w:cs="Times New Roman"/>
          <w:i/>
          <w:iCs/>
          <w:lang w:val="en-CA"/>
        </w:rPr>
        <w:t>Bank of Nova Scotia v. 22 King St. Inc. et al</w:t>
      </w:r>
      <w:r w:rsidRPr="00AD2E70">
        <w:rPr>
          <w:rFonts w:ascii="Times New Roman" w:hAnsi="Times New Roman" w:cs="Times New Roman"/>
          <w:lang w:val="en-CA"/>
        </w:rPr>
        <w:t>, 2017 NBQB 172</w:t>
      </w:r>
      <w:r w:rsidR="006A0E84" w:rsidRPr="00AD2E70">
        <w:rPr>
          <w:rFonts w:ascii="Times New Roman" w:hAnsi="Times New Roman" w:cs="Times New Roman"/>
          <w:lang w:val="en-CA"/>
        </w:rPr>
        <w:t xml:space="preserve"> [</w:t>
      </w:r>
      <w:r w:rsidR="006A0E84" w:rsidRPr="00AD2E70">
        <w:rPr>
          <w:rFonts w:ascii="Times New Roman" w:hAnsi="Times New Roman" w:cs="Times New Roman"/>
          <w:i/>
          <w:iCs/>
          <w:lang w:val="en-CA"/>
        </w:rPr>
        <w:t>22 King St.</w:t>
      </w:r>
      <w:r w:rsidR="006A0E84" w:rsidRPr="00AD2E70">
        <w:rPr>
          <w:rFonts w:ascii="Times New Roman" w:hAnsi="Times New Roman" w:cs="Times New Roman"/>
          <w:lang w:val="en-CA"/>
        </w:rPr>
        <w:t>]</w:t>
      </w:r>
      <w:r w:rsidRPr="00AD2E70">
        <w:rPr>
          <w:rFonts w:ascii="Times New Roman" w:hAnsi="Times New Roman" w:cs="Times New Roman"/>
          <w:lang w:val="en-CA"/>
        </w:rPr>
        <w:t xml:space="preserve">; </w:t>
      </w:r>
      <w:r w:rsidRPr="00AD2E70">
        <w:rPr>
          <w:rFonts w:ascii="Times New Roman" w:hAnsi="Times New Roman" w:cs="Times New Roman"/>
          <w:i/>
          <w:iCs/>
          <w:lang w:val="en-CA"/>
        </w:rPr>
        <w:t>Toronto-Dominion Bank v. Konga</w:t>
      </w:r>
      <w:r w:rsidRPr="00AD2E70">
        <w:rPr>
          <w:rFonts w:ascii="Times New Roman" w:hAnsi="Times New Roman" w:cs="Times New Roman"/>
          <w:lang w:val="en-CA"/>
        </w:rPr>
        <w:t>, 2016 ONSC 1628 [</w:t>
      </w:r>
      <w:r w:rsidRPr="00AD2E70">
        <w:rPr>
          <w:rFonts w:ascii="Times New Roman" w:hAnsi="Times New Roman" w:cs="Times New Roman"/>
          <w:i/>
          <w:iCs/>
          <w:lang w:val="en-CA"/>
        </w:rPr>
        <w:t>Konga</w:t>
      </w:r>
      <w:r w:rsidRPr="00AD2E70">
        <w:rPr>
          <w:rFonts w:ascii="Times New Roman" w:hAnsi="Times New Roman" w:cs="Times New Roman"/>
          <w:lang w:val="en-CA"/>
        </w:rPr>
        <w:t>]</w:t>
      </w:r>
      <w:r w:rsidR="006B1ECA" w:rsidRPr="00AD2E70">
        <w:rPr>
          <w:rFonts w:ascii="Times New Roman" w:hAnsi="Times New Roman" w:cs="Times New Roman"/>
          <w:lang w:val="en-CA"/>
        </w:rPr>
        <w:t>.</w:t>
      </w:r>
    </w:p>
  </w:footnote>
  <w:footnote w:id="4">
    <w:p w14:paraId="2F63AD7B" w14:textId="0FE736FF" w:rsidR="00484C1E" w:rsidRPr="00AD2E70" w:rsidRDefault="00484C1E">
      <w:pPr>
        <w:pStyle w:val="FootnoteText"/>
        <w:rPr>
          <w:rFonts w:ascii="Times New Roman" w:hAnsi="Times New Roman" w:cs="Times New Roman"/>
          <w:lang w:val="en-CA"/>
        </w:rPr>
      </w:pPr>
      <w:r w:rsidRPr="00AD2E70">
        <w:rPr>
          <w:rStyle w:val="FootnoteReference"/>
          <w:rFonts w:ascii="Times New Roman" w:hAnsi="Times New Roman" w:cs="Times New Roman"/>
        </w:rPr>
        <w:footnoteRef/>
      </w:r>
      <w:r w:rsidRPr="00AD2E70">
        <w:rPr>
          <w:rFonts w:ascii="Times New Roman" w:hAnsi="Times New Roman" w:cs="Times New Roman"/>
          <w:lang w:val="en-CA"/>
        </w:rPr>
        <w:t xml:space="preserve"> </w:t>
      </w:r>
      <w:r w:rsidRPr="00AD2E70">
        <w:rPr>
          <w:rFonts w:ascii="Times New Roman" w:hAnsi="Times New Roman" w:cs="Times New Roman"/>
          <w:i/>
          <w:iCs/>
          <w:lang w:val="en-CA"/>
        </w:rPr>
        <w:t>Konga</w:t>
      </w:r>
      <w:r w:rsidR="006A0E84" w:rsidRPr="00AD2E70">
        <w:rPr>
          <w:rFonts w:ascii="Times New Roman" w:hAnsi="Times New Roman" w:cs="Times New Roman"/>
          <w:i/>
          <w:iCs/>
          <w:lang w:val="en-CA"/>
        </w:rPr>
        <w:t>,</w:t>
      </w:r>
      <w:r w:rsidRPr="00AD2E70">
        <w:rPr>
          <w:rFonts w:ascii="Times New Roman" w:hAnsi="Times New Roman" w:cs="Times New Roman"/>
          <w:i/>
          <w:iCs/>
          <w:lang w:val="en-CA"/>
        </w:rPr>
        <w:t xml:space="preserve"> </w:t>
      </w:r>
      <w:r w:rsidR="006A0E84" w:rsidRPr="00AD2E70">
        <w:rPr>
          <w:rFonts w:ascii="Times New Roman" w:hAnsi="Times New Roman" w:cs="Times New Roman"/>
          <w:i/>
          <w:iCs/>
          <w:lang w:val="en-CA"/>
        </w:rPr>
        <w:t>ibid</w:t>
      </w:r>
      <w:r w:rsidR="00063D88">
        <w:rPr>
          <w:rFonts w:ascii="Times New Roman" w:hAnsi="Times New Roman" w:cs="Times New Roman"/>
          <w:i/>
          <w:iCs/>
          <w:lang w:val="en-CA"/>
        </w:rPr>
        <w:t>.</w:t>
      </w:r>
      <w:r w:rsidRPr="00AD2E70">
        <w:rPr>
          <w:rFonts w:ascii="Times New Roman" w:hAnsi="Times New Roman" w:cs="Times New Roman"/>
          <w:lang w:val="en-CA"/>
        </w:rPr>
        <w:t xml:space="preserve">; </w:t>
      </w:r>
      <w:r w:rsidRPr="00AD2E70">
        <w:rPr>
          <w:rFonts w:ascii="Times New Roman" w:hAnsi="Times New Roman" w:cs="Times New Roman"/>
          <w:i/>
          <w:iCs/>
          <w:lang w:val="en-CA"/>
        </w:rPr>
        <w:t>Farm Credit Canada v Pratas</w:t>
      </w:r>
      <w:r w:rsidRPr="00AD2E70">
        <w:rPr>
          <w:rFonts w:ascii="Times New Roman" w:hAnsi="Times New Roman" w:cs="Times New Roman"/>
          <w:lang w:val="en-CA"/>
        </w:rPr>
        <w:t>, 2014 ONSC 5592</w:t>
      </w:r>
      <w:r w:rsidR="00901076">
        <w:rPr>
          <w:rFonts w:ascii="Times New Roman" w:hAnsi="Times New Roman" w:cs="Times New Roman"/>
          <w:lang w:val="en-CA"/>
        </w:rPr>
        <w:t>, where a personal guarantee for the value of approximately $2,100,000 was upheld</w:t>
      </w:r>
      <w:r w:rsidRPr="00AD2E70">
        <w:rPr>
          <w:rFonts w:ascii="Times New Roman" w:hAnsi="Times New Roman" w:cs="Times New Roman"/>
          <w:lang w:val="en-CA"/>
        </w:rPr>
        <w:t xml:space="preserve">; </w:t>
      </w:r>
      <w:r w:rsidRPr="00AD2E70">
        <w:rPr>
          <w:rFonts w:ascii="Times New Roman" w:hAnsi="Times New Roman" w:cs="Times New Roman"/>
          <w:i/>
          <w:iCs/>
          <w:lang w:val="en-CA"/>
        </w:rPr>
        <w:t xml:space="preserve">Toronto-Dominion Bank v. Eddymask Ltd., </w:t>
      </w:r>
      <w:r w:rsidRPr="00AD2E70">
        <w:rPr>
          <w:rFonts w:ascii="Times New Roman" w:hAnsi="Times New Roman" w:cs="Times New Roman"/>
          <w:lang w:val="en-CA"/>
        </w:rPr>
        <w:t xml:space="preserve">2015 ONSC 2429; </w:t>
      </w:r>
      <w:r w:rsidRPr="00AD2E70">
        <w:rPr>
          <w:rFonts w:ascii="Times New Roman" w:hAnsi="Times New Roman" w:cs="Times New Roman"/>
          <w:i/>
          <w:iCs/>
          <w:lang w:val="en-CA"/>
        </w:rPr>
        <w:t>Royal Bank of Canada v. 3255177 Nova Scotia Limited</w:t>
      </w:r>
      <w:r w:rsidRPr="00AD2E70">
        <w:rPr>
          <w:rFonts w:ascii="Times New Roman" w:hAnsi="Times New Roman" w:cs="Times New Roman"/>
          <w:lang w:val="en-CA"/>
        </w:rPr>
        <w:t>, 2018 NSSC 181.</w:t>
      </w:r>
    </w:p>
  </w:footnote>
  <w:footnote w:id="5">
    <w:p w14:paraId="778FAC77" w14:textId="35EA4901" w:rsidR="00760C8D" w:rsidRPr="00EF63B6" w:rsidRDefault="00760C8D" w:rsidP="00760C8D">
      <w:pPr>
        <w:pStyle w:val="FootnoteText"/>
        <w:rPr>
          <w:lang w:val="en-CA"/>
        </w:rPr>
      </w:pPr>
      <w:r>
        <w:rPr>
          <w:rStyle w:val="FootnoteReference"/>
        </w:rPr>
        <w:footnoteRef/>
      </w:r>
      <w:r>
        <w:t xml:space="preserve"> </w:t>
      </w:r>
      <w:r w:rsidRPr="004C2059">
        <w:rPr>
          <w:rFonts w:ascii="Times New Roman" w:hAnsi="Times New Roman" w:cs="Times New Roman"/>
          <w:i/>
          <w:iCs/>
          <w:lang w:val="en-CA"/>
        </w:rPr>
        <w:t>ATB Financial v. Coredent Partnership,</w:t>
      </w:r>
      <w:r w:rsidRPr="004C2059">
        <w:rPr>
          <w:rFonts w:ascii="Times New Roman" w:hAnsi="Times New Roman" w:cs="Times New Roman"/>
          <w:lang w:val="en-CA"/>
        </w:rPr>
        <w:t xml:space="preserve"> 2019 ABQB 680 [</w:t>
      </w:r>
      <w:r w:rsidRPr="004C2059">
        <w:rPr>
          <w:rFonts w:ascii="Times New Roman" w:hAnsi="Times New Roman" w:cs="Times New Roman"/>
          <w:i/>
          <w:iCs/>
          <w:lang w:val="en-CA"/>
        </w:rPr>
        <w:t>ATB Financial</w:t>
      </w:r>
      <w:r w:rsidRPr="004C2059">
        <w:rPr>
          <w:rFonts w:ascii="Times New Roman" w:hAnsi="Times New Roman" w:cs="Times New Roman"/>
          <w:lang w:val="en-CA"/>
        </w:rPr>
        <w:t>].</w:t>
      </w:r>
    </w:p>
  </w:footnote>
  <w:footnote w:id="6">
    <w:p w14:paraId="5240B580" w14:textId="1D6C17B3" w:rsidR="00E54CD4" w:rsidRPr="00AD2E70" w:rsidRDefault="00E54CD4">
      <w:pPr>
        <w:pStyle w:val="FootnoteText"/>
        <w:rPr>
          <w:rFonts w:ascii="Times New Roman" w:hAnsi="Times New Roman" w:cs="Times New Roman"/>
          <w:lang w:val="en-CA"/>
        </w:rPr>
      </w:pPr>
      <w:r w:rsidRPr="00AD2E70">
        <w:rPr>
          <w:rStyle w:val="FootnoteReference"/>
          <w:rFonts w:ascii="Times New Roman" w:hAnsi="Times New Roman" w:cs="Times New Roman"/>
        </w:rPr>
        <w:footnoteRef/>
      </w:r>
      <w:r w:rsidRPr="00AD2E70">
        <w:rPr>
          <w:rFonts w:ascii="Times New Roman" w:hAnsi="Times New Roman" w:cs="Times New Roman"/>
        </w:rPr>
        <w:t xml:space="preserve"> </w:t>
      </w:r>
      <w:r w:rsidRPr="00AD2E70">
        <w:rPr>
          <w:rFonts w:ascii="Times New Roman" w:hAnsi="Times New Roman" w:cs="Times New Roman"/>
          <w:i/>
          <w:iCs/>
          <w:lang w:val="en-CA"/>
        </w:rPr>
        <w:t>Konga</w:t>
      </w:r>
      <w:r w:rsidRPr="00AD2E70">
        <w:rPr>
          <w:rFonts w:ascii="Times New Roman" w:hAnsi="Times New Roman" w:cs="Times New Roman"/>
          <w:lang w:val="en-CA"/>
        </w:rPr>
        <w:t xml:space="preserve">, </w:t>
      </w:r>
      <w:r w:rsidR="00D6163E" w:rsidRPr="00D6163E">
        <w:rPr>
          <w:rFonts w:ascii="Times New Roman" w:hAnsi="Times New Roman" w:cs="Times New Roman"/>
          <w:i/>
          <w:iCs/>
          <w:lang w:val="en-CA"/>
        </w:rPr>
        <w:t>supra</w:t>
      </w:r>
      <w:r w:rsidR="00D6163E">
        <w:rPr>
          <w:rFonts w:ascii="Times New Roman" w:hAnsi="Times New Roman" w:cs="Times New Roman"/>
          <w:lang w:val="en-CA"/>
        </w:rPr>
        <w:t xml:space="preserve"> note 3</w:t>
      </w:r>
      <w:r w:rsidRPr="00AD2E70">
        <w:rPr>
          <w:rFonts w:ascii="Times New Roman" w:hAnsi="Times New Roman" w:cs="Times New Roman"/>
          <w:lang w:val="en-CA"/>
        </w:rPr>
        <w:t>.</w:t>
      </w:r>
    </w:p>
  </w:footnote>
  <w:footnote w:id="7">
    <w:p w14:paraId="3CD24D37" w14:textId="56D5FB47" w:rsidR="006A0E84" w:rsidRPr="00AD2E70" w:rsidRDefault="006A0E84">
      <w:pPr>
        <w:pStyle w:val="FootnoteText"/>
        <w:rPr>
          <w:rFonts w:ascii="Times New Roman" w:hAnsi="Times New Roman" w:cs="Times New Roman"/>
          <w:lang w:val="en-CA"/>
        </w:rPr>
      </w:pPr>
      <w:r w:rsidRPr="00AD2E70">
        <w:rPr>
          <w:rStyle w:val="FootnoteReference"/>
          <w:rFonts w:ascii="Times New Roman" w:hAnsi="Times New Roman" w:cs="Times New Roman"/>
        </w:rPr>
        <w:footnoteRef/>
      </w:r>
      <w:r w:rsidRPr="00AD2E70">
        <w:rPr>
          <w:rFonts w:ascii="Times New Roman" w:hAnsi="Times New Roman" w:cs="Times New Roman"/>
        </w:rPr>
        <w:t xml:space="preserve"> </w:t>
      </w:r>
      <w:r w:rsidRPr="00AD2E70">
        <w:rPr>
          <w:rFonts w:ascii="Times New Roman" w:hAnsi="Times New Roman" w:cs="Times New Roman"/>
          <w:i/>
          <w:iCs/>
          <w:lang w:val="en-CA"/>
        </w:rPr>
        <w:t>22 King St.</w:t>
      </w:r>
      <w:r w:rsidR="00D6163E">
        <w:rPr>
          <w:rFonts w:ascii="Times New Roman" w:hAnsi="Times New Roman" w:cs="Times New Roman"/>
          <w:i/>
          <w:iCs/>
          <w:lang w:val="en-CA"/>
        </w:rPr>
        <w:t>,</w:t>
      </w:r>
      <w:r w:rsidRPr="00AD2E70">
        <w:rPr>
          <w:rFonts w:ascii="Times New Roman" w:hAnsi="Times New Roman" w:cs="Times New Roman"/>
          <w:i/>
          <w:iCs/>
          <w:lang w:val="en-CA"/>
        </w:rPr>
        <w:t xml:space="preserve"> </w:t>
      </w:r>
      <w:r w:rsidRPr="00D6163E">
        <w:rPr>
          <w:rFonts w:ascii="Times New Roman" w:hAnsi="Times New Roman" w:cs="Times New Roman"/>
          <w:i/>
          <w:iCs/>
          <w:lang w:val="en-CA"/>
        </w:rPr>
        <w:t>supra</w:t>
      </w:r>
      <w:r w:rsidRPr="00AD2E70">
        <w:rPr>
          <w:rFonts w:ascii="Times New Roman" w:hAnsi="Times New Roman" w:cs="Times New Roman"/>
          <w:lang w:val="en-CA"/>
        </w:rPr>
        <w:t xml:space="preserve"> note </w:t>
      </w:r>
      <w:r w:rsidR="006B1ECA" w:rsidRPr="00AD2E70">
        <w:rPr>
          <w:rFonts w:ascii="Times New Roman" w:hAnsi="Times New Roman" w:cs="Times New Roman"/>
          <w:lang w:val="en-CA"/>
        </w:rPr>
        <w:t>3</w:t>
      </w:r>
      <w:r w:rsidRPr="00AD2E70">
        <w:rPr>
          <w:rFonts w:ascii="Times New Roman" w:hAnsi="Times New Roman" w:cs="Times New Roman"/>
          <w:lang w:val="en-CA"/>
        </w:rPr>
        <w:t>.</w:t>
      </w:r>
    </w:p>
  </w:footnote>
  <w:footnote w:id="8">
    <w:p w14:paraId="358D3899" w14:textId="4AE27C62" w:rsidR="006A0E84" w:rsidRPr="00AD2E70" w:rsidRDefault="006A0E84">
      <w:pPr>
        <w:pStyle w:val="FootnoteText"/>
        <w:rPr>
          <w:rFonts w:ascii="Times New Roman" w:hAnsi="Times New Roman" w:cs="Times New Roman"/>
          <w:lang w:val="en-CA"/>
        </w:rPr>
      </w:pPr>
      <w:r w:rsidRPr="00AD2E70">
        <w:rPr>
          <w:rStyle w:val="FootnoteReference"/>
          <w:rFonts w:ascii="Times New Roman" w:hAnsi="Times New Roman" w:cs="Times New Roman"/>
        </w:rPr>
        <w:footnoteRef/>
      </w:r>
      <w:r w:rsidRPr="00AD2E70">
        <w:rPr>
          <w:rFonts w:ascii="Times New Roman" w:hAnsi="Times New Roman" w:cs="Times New Roman"/>
        </w:rPr>
        <w:t xml:space="preserve"> </w:t>
      </w:r>
      <w:r w:rsidRPr="00AD2E70">
        <w:rPr>
          <w:rFonts w:ascii="Times New Roman" w:hAnsi="Times New Roman" w:cs="Times New Roman"/>
          <w:lang w:val="en-CA"/>
        </w:rPr>
        <w:t>2014 SCC 53 [</w:t>
      </w:r>
      <w:r w:rsidRPr="00AD2E70">
        <w:rPr>
          <w:rFonts w:ascii="Times New Roman" w:hAnsi="Times New Roman" w:cs="Times New Roman"/>
          <w:i/>
          <w:iCs/>
          <w:lang w:val="en-CA"/>
        </w:rPr>
        <w:t>Sattva</w:t>
      </w:r>
      <w:r w:rsidRPr="00AD2E70">
        <w:rPr>
          <w:rFonts w:ascii="Times New Roman" w:hAnsi="Times New Roman" w:cs="Times New Roman"/>
          <w:lang w:val="en-CA"/>
        </w:rPr>
        <w:t>].</w:t>
      </w:r>
    </w:p>
  </w:footnote>
  <w:footnote w:id="9">
    <w:p w14:paraId="7E0C9321" w14:textId="34357B87" w:rsidR="006028AC" w:rsidRPr="006028AC" w:rsidRDefault="006028AC">
      <w:pPr>
        <w:pStyle w:val="FootnoteText"/>
        <w:rPr>
          <w:lang w:val="en-CA"/>
        </w:rPr>
      </w:pPr>
      <w:r>
        <w:rPr>
          <w:rStyle w:val="FootnoteReference"/>
        </w:rPr>
        <w:footnoteRef/>
      </w:r>
      <w:r>
        <w:t xml:space="preserve"> </w:t>
      </w:r>
      <w:r w:rsidRPr="004C2059">
        <w:rPr>
          <w:rFonts w:ascii="Times New Roman" w:hAnsi="Times New Roman" w:cs="Times New Roman"/>
          <w:i/>
          <w:iCs/>
          <w:lang w:val="en-CA"/>
        </w:rPr>
        <w:t>Business Development Bank of Canada v. Paloheimo</w:t>
      </w:r>
      <w:r w:rsidRPr="004C2059">
        <w:rPr>
          <w:rFonts w:ascii="Times New Roman" w:hAnsi="Times New Roman" w:cs="Times New Roman"/>
          <w:lang w:val="en-CA"/>
        </w:rPr>
        <w:t>, 2015 ONSC 7295 [</w:t>
      </w:r>
      <w:r w:rsidRPr="004C2059">
        <w:rPr>
          <w:rFonts w:ascii="Times New Roman" w:hAnsi="Times New Roman" w:cs="Times New Roman"/>
          <w:i/>
          <w:iCs/>
          <w:lang w:val="en-CA"/>
        </w:rPr>
        <w:t>Paloheimo</w:t>
      </w:r>
      <w:r w:rsidRPr="004C2059">
        <w:rPr>
          <w:rFonts w:ascii="Times New Roman" w:hAnsi="Times New Roman" w:cs="Times New Roman"/>
          <w:lang w:val="en-CA"/>
        </w:rPr>
        <w:t>]</w:t>
      </w:r>
      <w:r w:rsidR="00063D88">
        <w:rPr>
          <w:rFonts w:ascii="Times New Roman" w:hAnsi="Times New Roman" w:cs="Times New Roman"/>
          <w:lang w:val="en-CA"/>
        </w:rPr>
        <w:t>.</w:t>
      </w:r>
      <w:r w:rsidRPr="004C2059">
        <w:rPr>
          <w:rFonts w:ascii="Times New Roman" w:hAnsi="Times New Roman" w:cs="Times New Roman"/>
          <w:lang w:val="en-CA"/>
        </w:rPr>
        <w:t xml:space="preserve"> </w:t>
      </w:r>
    </w:p>
  </w:footnote>
  <w:footnote w:id="10">
    <w:p w14:paraId="6402E584" w14:textId="23760F3F" w:rsidR="00E47F8B" w:rsidRPr="006028AC" w:rsidRDefault="00E47F8B" w:rsidP="00E47F8B">
      <w:pPr>
        <w:pStyle w:val="FootnoteText"/>
        <w:rPr>
          <w:rFonts w:ascii="Times New Roman" w:hAnsi="Times New Roman" w:cs="Times New Roman"/>
          <w:lang w:val="en-CA"/>
        </w:rPr>
      </w:pPr>
      <w:r w:rsidRPr="00AD2E70">
        <w:rPr>
          <w:rStyle w:val="FootnoteReference"/>
          <w:rFonts w:ascii="Times New Roman" w:hAnsi="Times New Roman" w:cs="Times New Roman"/>
        </w:rPr>
        <w:footnoteRef/>
      </w:r>
      <w:r w:rsidRPr="004C2059">
        <w:rPr>
          <w:rFonts w:ascii="Times New Roman" w:hAnsi="Times New Roman" w:cs="Times New Roman"/>
          <w:lang w:val="en-CA"/>
        </w:rPr>
        <w:t xml:space="preserve"> </w:t>
      </w:r>
      <w:r w:rsidR="00EF63B6" w:rsidRPr="004C2059">
        <w:rPr>
          <w:rFonts w:ascii="Times New Roman" w:hAnsi="Times New Roman" w:cs="Times New Roman"/>
          <w:i/>
          <w:iCs/>
          <w:lang w:val="en-CA"/>
        </w:rPr>
        <w:t>ATB Financial v. Coredent Partnership,</w:t>
      </w:r>
      <w:r w:rsidR="00EF63B6" w:rsidRPr="004C2059">
        <w:rPr>
          <w:rFonts w:ascii="Times New Roman" w:hAnsi="Times New Roman" w:cs="Times New Roman"/>
          <w:lang w:val="en-CA"/>
        </w:rPr>
        <w:t xml:space="preserve"> 2019 ABQB 680 [</w:t>
      </w:r>
      <w:r w:rsidR="00EF63B6" w:rsidRPr="004C2059">
        <w:rPr>
          <w:rFonts w:ascii="Times New Roman" w:hAnsi="Times New Roman" w:cs="Times New Roman"/>
          <w:i/>
          <w:iCs/>
          <w:lang w:val="en-CA"/>
        </w:rPr>
        <w:t>ATB Financial</w:t>
      </w:r>
      <w:r w:rsidR="00EF63B6" w:rsidRPr="004C2059">
        <w:rPr>
          <w:rFonts w:ascii="Times New Roman" w:hAnsi="Times New Roman" w:cs="Times New Roman"/>
          <w:lang w:val="en-CA"/>
        </w:rPr>
        <w:t xml:space="preserve">]; </w:t>
      </w:r>
      <w:r w:rsidR="00D6163E" w:rsidRPr="00AD2E70">
        <w:rPr>
          <w:rFonts w:ascii="Times New Roman" w:hAnsi="Times New Roman" w:cs="Times New Roman"/>
          <w:i/>
          <w:iCs/>
        </w:rPr>
        <w:t>Bank of Nova Scotia v. 8405751 Canada Corp</w:t>
      </w:r>
      <w:r w:rsidR="00D6163E" w:rsidRPr="00AD2E70">
        <w:rPr>
          <w:rFonts w:ascii="Times New Roman" w:hAnsi="Times New Roman" w:cs="Times New Roman"/>
        </w:rPr>
        <w:t>.,</w:t>
      </w:r>
      <w:r w:rsidR="00EF63B6">
        <w:rPr>
          <w:rFonts w:ascii="Times New Roman" w:hAnsi="Times New Roman" w:cs="Times New Roman"/>
        </w:rPr>
        <w:t xml:space="preserve"> (2018)</w:t>
      </w:r>
      <w:r w:rsidR="00D6163E" w:rsidRPr="00AD2E70">
        <w:rPr>
          <w:rFonts w:ascii="Times New Roman" w:hAnsi="Times New Roman" w:cs="Times New Roman"/>
        </w:rPr>
        <w:t xml:space="preserve"> </w:t>
      </w:r>
      <w:r w:rsidR="00D6163E" w:rsidRPr="00D6163E">
        <w:rPr>
          <w:rFonts w:ascii="Times New Roman" w:hAnsi="Times New Roman" w:cs="Times New Roman"/>
        </w:rPr>
        <w:t>295 A.C.W.S. (3d) 896</w:t>
      </w:r>
      <w:r w:rsidR="00D6163E" w:rsidRPr="00AD2E70">
        <w:rPr>
          <w:rFonts w:ascii="Times New Roman" w:hAnsi="Times New Roman" w:cs="Times New Roman"/>
        </w:rPr>
        <w:t xml:space="preserve"> [</w:t>
      </w:r>
      <w:r w:rsidR="00D6163E" w:rsidRPr="00AD2E70">
        <w:rPr>
          <w:rFonts w:ascii="Times New Roman" w:hAnsi="Times New Roman" w:cs="Times New Roman"/>
          <w:i/>
          <w:iCs/>
        </w:rPr>
        <w:t>Canada Corp.</w:t>
      </w:r>
      <w:r w:rsidR="00D6163E" w:rsidRPr="00AD2E70">
        <w:rPr>
          <w:rFonts w:ascii="Times New Roman" w:hAnsi="Times New Roman" w:cs="Times New Roman"/>
        </w:rPr>
        <w:t>]</w:t>
      </w:r>
      <w:r w:rsidRPr="004C2059">
        <w:rPr>
          <w:rFonts w:ascii="Times New Roman" w:hAnsi="Times New Roman" w:cs="Times New Roman"/>
          <w:lang w:val="en-CA"/>
        </w:rPr>
        <w:t xml:space="preserve"> at para 47;</w:t>
      </w:r>
      <w:r w:rsidRPr="00AD2E70">
        <w:rPr>
          <w:rFonts w:ascii="Times New Roman" w:hAnsi="Times New Roman" w:cs="Times New Roman"/>
          <w:lang w:val="en-CA"/>
        </w:rPr>
        <w:t xml:space="preserve"> </w:t>
      </w:r>
      <w:r w:rsidRPr="00AD2E70">
        <w:rPr>
          <w:rFonts w:ascii="Times New Roman" w:hAnsi="Times New Roman" w:cs="Times New Roman"/>
          <w:i/>
          <w:iCs/>
          <w:lang w:val="en-CA"/>
        </w:rPr>
        <w:t xml:space="preserve">Blue Hill Excavating Inc. v. </w:t>
      </w:r>
      <w:r w:rsidR="00B33F81" w:rsidRPr="00AD2E70">
        <w:rPr>
          <w:rFonts w:ascii="Times New Roman" w:hAnsi="Times New Roman" w:cs="Times New Roman"/>
          <w:i/>
          <w:iCs/>
          <w:lang w:val="en-CA"/>
        </w:rPr>
        <w:t>Canadian</w:t>
      </w:r>
      <w:r w:rsidRPr="00AD2E70">
        <w:rPr>
          <w:rFonts w:ascii="Times New Roman" w:hAnsi="Times New Roman" w:cs="Times New Roman"/>
          <w:i/>
          <w:iCs/>
          <w:lang w:val="en-CA"/>
        </w:rPr>
        <w:t xml:space="preserve"> Western Bank Leasing Inc</w:t>
      </w:r>
      <w:r w:rsidRPr="00AD2E70">
        <w:rPr>
          <w:rFonts w:ascii="Times New Roman" w:hAnsi="Times New Roman" w:cs="Times New Roman"/>
          <w:lang w:val="en-CA"/>
        </w:rPr>
        <w:t>., 2019 SKCA 22</w:t>
      </w:r>
      <w:r w:rsidR="006028AC">
        <w:rPr>
          <w:rFonts w:ascii="Times New Roman" w:hAnsi="Times New Roman" w:cs="Times New Roman"/>
          <w:lang w:val="en-CA"/>
        </w:rPr>
        <w:t xml:space="preserve">; </w:t>
      </w:r>
      <w:r w:rsidR="006028AC" w:rsidRPr="004C2059">
        <w:rPr>
          <w:rFonts w:ascii="Times New Roman" w:hAnsi="Times New Roman" w:cs="Times New Roman"/>
          <w:i/>
          <w:iCs/>
          <w:lang w:val="en-CA"/>
        </w:rPr>
        <w:t>Paloheimo</w:t>
      </w:r>
      <w:r w:rsidR="006028AC" w:rsidRPr="004C2059">
        <w:rPr>
          <w:rFonts w:ascii="Times New Roman" w:hAnsi="Times New Roman" w:cs="Times New Roman"/>
          <w:lang w:val="en-CA"/>
        </w:rPr>
        <w:t xml:space="preserve">, </w:t>
      </w:r>
      <w:r w:rsidR="006028AC" w:rsidRPr="004C2059">
        <w:rPr>
          <w:rFonts w:ascii="Times New Roman" w:hAnsi="Times New Roman" w:cs="Times New Roman"/>
          <w:i/>
          <w:iCs/>
          <w:lang w:val="en-CA"/>
        </w:rPr>
        <w:t>ibid</w:t>
      </w:r>
      <w:r w:rsidR="006028AC" w:rsidRPr="004C2059">
        <w:rPr>
          <w:rFonts w:ascii="Times New Roman" w:hAnsi="Times New Roman" w:cs="Times New Roman"/>
          <w:lang w:val="en-CA"/>
        </w:rPr>
        <w:t xml:space="preserve"> at para 12.</w:t>
      </w:r>
    </w:p>
  </w:footnote>
  <w:footnote w:id="11">
    <w:p w14:paraId="0EF6A3C1" w14:textId="19C75704" w:rsidR="003A7519" w:rsidRPr="004C2059" w:rsidRDefault="003A7519" w:rsidP="003A7519">
      <w:pPr>
        <w:pStyle w:val="FootnoteText"/>
        <w:rPr>
          <w:rFonts w:ascii="Times New Roman" w:hAnsi="Times New Roman" w:cs="Times New Roman"/>
          <w:lang w:val="es-ES"/>
        </w:rPr>
      </w:pPr>
      <w:r w:rsidRPr="00AD2E70">
        <w:rPr>
          <w:rStyle w:val="FootnoteReference"/>
          <w:rFonts w:ascii="Times New Roman" w:hAnsi="Times New Roman" w:cs="Times New Roman"/>
        </w:rPr>
        <w:footnoteRef/>
      </w:r>
      <w:r w:rsidRPr="004C2059">
        <w:rPr>
          <w:rFonts w:ascii="Times New Roman" w:hAnsi="Times New Roman" w:cs="Times New Roman"/>
          <w:lang w:val="es-ES"/>
        </w:rPr>
        <w:t xml:space="preserve"> </w:t>
      </w:r>
      <w:r w:rsidRPr="004C2059">
        <w:rPr>
          <w:rFonts w:ascii="Times New Roman" w:hAnsi="Times New Roman" w:cs="Times New Roman"/>
          <w:i/>
          <w:iCs/>
          <w:lang w:val="es-ES"/>
        </w:rPr>
        <w:t>RBC v 164939</w:t>
      </w:r>
      <w:r w:rsidRPr="004C2059">
        <w:rPr>
          <w:rFonts w:ascii="Times New Roman" w:hAnsi="Times New Roman" w:cs="Times New Roman"/>
          <w:lang w:val="es-ES"/>
        </w:rPr>
        <w:t xml:space="preserve">, </w:t>
      </w:r>
      <w:bookmarkStart w:id="0" w:name="_Hlk31725133"/>
      <w:r w:rsidRPr="004C2059">
        <w:rPr>
          <w:rFonts w:ascii="Times New Roman" w:hAnsi="Times New Roman" w:cs="Times New Roman"/>
          <w:lang w:val="es-ES"/>
        </w:rPr>
        <w:t>2019 ONSC 51</w:t>
      </w:r>
      <w:bookmarkEnd w:id="0"/>
      <w:r w:rsidR="00B33F81" w:rsidRPr="004C2059">
        <w:rPr>
          <w:rFonts w:ascii="Times New Roman" w:hAnsi="Times New Roman" w:cs="Times New Roman"/>
          <w:lang w:val="es-ES"/>
        </w:rPr>
        <w:t>45</w:t>
      </w:r>
      <w:r w:rsidR="006028AC" w:rsidRPr="004C2059">
        <w:rPr>
          <w:rFonts w:ascii="Times New Roman" w:hAnsi="Times New Roman" w:cs="Times New Roman"/>
          <w:lang w:val="es-ES"/>
        </w:rPr>
        <w:t xml:space="preserve">; </w:t>
      </w:r>
      <w:r w:rsidR="006028AC" w:rsidRPr="004C2059">
        <w:rPr>
          <w:rFonts w:ascii="Times New Roman" w:hAnsi="Times New Roman" w:cs="Times New Roman"/>
          <w:i/>
          <w:iCs/>
          <w:lang w:val="es-ES"/>
        </w:rPr>
        <w:t>Canada Corp</w:t>
      </w:r>
      <w:r w:rsidR="006028AC" w:rsidRPr="004C2059">
        <w:rPr>
          <w:rFonts w:ascii="Times New Roman" w:hAnsi="Times New Roman" w:cs="Times New Roman"/>
          <w:lang w:val="es-ES"/>
        </w:rPr>
        <w:t xml:space="preserve">., </w:t>
      </w:r>
      <w:r w:rsidR="006028AC" w:rsidRPr="00063D88">
        <w:rPr>
          <w:rFonts w:ascii="Times New Roman" w:hAnsi="Times New Roman" w:cs="Times New Roman"/>
          <w:i/>
          <w:iCs/>
          <w:lang w:val="es-ES"/>
        </w:rPr>
        <w:t>supra</w:t>
      </w:r>
      <w:r w:rsidR="006028AC" w:rsidRPr="004C2059">
        <w:rPr>
          <w:rFonts w:ascii="Times New Roman" w:hAnsi="Times New Roman" w:cs="Times New Roman"/>
          <w:lang w:val="es-ES"/>
        </w:rPr>
        <w:t xml:space="preserve"> note 8</w:t>
      </w:r>
      <w:r w:rsidR="00063D88">
        <w:rPr>
          <w:rFonts w:ascii="Times New Roman" w:hAnsi="Times New Roman" w:cs="Times New Roman"/>
          <w:lang w:val="es-ES"/>
        </w:rPr>
        <w:t>.</w:t>
      </w:r>
    </w:p>
  </w:footnote>
  <w:footnote w:id="12">
    <w:p w14:paraId="5C25C7F8" w14:textId="6FB17C17" w:rsidR="00E47F8B" w:rsidRPr="00AD2E70" w:rsidRDefault="00E47F8B">
      <w:pPr>
        <w:pStyle w:val="FootnoteText"/>
        <w:rPr>
          <w:rFonts w:ascii="Times New Roman" w:hAnsi="Times New Roman" w:cs="Times New Roman"/>
          <w:lang w:val="en-CA"/>
        </w:rPr>
      </w:pPr>
      <w:r w:rsidRPr="00AD2E70">
        <w:rPr>
          <w:rStyle w:val="FootnoteReference"/>
          <w:rFonts w:ascii="Times New Roman" w:hAnsi="Times New Roman" w:cs="Times New Roman"/>
        </w:rPr>
        <w:footnoteRef/>
      </w:r>
      <w:r w:rsidRPr="004C2059">
        <w:rPr>
          <w:rFonts w:ascii="Times New Roman" w:hAnsi="Times New Roman" w:cs="Times New Roman"/>
          <w:lang w:val="es-ES"/>
        </w:rPr>
        <w:t xml:space="preserve"> </w:t>
      </w:r>
      <w:r w:rsidR="00B33F81" w:rsidRPr="00AD2E70">
        <w:rPr>
          <w:rFonts w:ascii="Times New Roman" w:hAnsi="Times New Roman" w:cs="Times New Roman"/>
          <w:i/>
          <w:iCs/>
          <w:lang w:val="es-ES"/>
        </w:rPr>
        <w:t>Paloheima</w:t>
      </w:r>
      <w:r w:rsidR="00B33F81" w:rsidRPr="004C2059">
        <w:rPr>
          <w:rFonts w:ascii="Times New Roman" w:hAnsi="Times New Roman" w:cs="Times New Roman"/>
          <w:lang w:val="es-ES"/>
        </w:rPr>
        <w:t xml:space="preserve">, </w:t>
      </w:r>
      <w:r w:rsidR="00B33F81" w:rsidRPr="004C2059">
        <w:rPr>
          <w:rFonts w:ascii="Times New Roman" w:hAnsi="Times New Roman" w:cs="Times New Roman"/>
          <w:i/>
          <w:iCs/>
          <w:lang w:val="es-ES"/>
        </w:rPr>
        <w:t>supra</w:t>
      </w:r>
      <w:r w:rsidR="00B33F81" w:rsidRPr="004C2059">
        <w:rPr>
          <w:rFonts w:ascii="Times New Roman" w:hAnsi="Times New Roman" w:cs="Times New Roman"/>
          <w:lang w:val="es-ES"/>
        </w:rPr>
        <w:t xml:space="preserve"> note </w:t>
      </w:r>
      <w:r w:rsidR="006028AC" w:rsidRPr="004C2059">
        <w:rPr>
          <w:rFonts w:ascii="Times New Roman" w:hAnsi="Times New Roman" w:cs="Times New Roman"/>
          <w:lang w:val="es-ES"/>
        </w:rPr>
        <w:t>9</w:t>
      </w:r>
      <w:r w:rsidRPr="004C2059">
        <w:rPr>
          <w:rFonts w:ascii="Times New Roman" w:hAnsi="Times New Roman" w:cs="Times New Roman"/>
          <w:lang w:val="es-ES"/>
        </w:rPr>
        <w:t xml:space="preserve"> at paras. </w:t>
      </w:r>
      <w:r w:rsidRPr="004C2059">
        <w:rPr>
          <w:rFonts w:ascii="Times New Roman" w:hAnsi="Times New Roman" w:cs="Times New Roman"/>
          <w:lang w:val="en-CA"/>
        </w:rPr>
        <w:t>11 and 12</w:t>
      </w:r>
      <w:r w:rsidR="00B33F81" w:rsidRPr="004C2059">
        <w:rPr>
          <w:rFonts w:ascii="Times New Roman" w:hAnsi="Times New Roman" w:cs="Times New Roman"/>
          <w:lang w:val="en-CA"/>
        </w:rPr>
        <w:t>.</w:t>
      </w:r>
    </w:p>
  </w:footnote>
  <w:footnote w:id="13">
    <w:p w14:paraId="6EC95787" w14:textId="598F05CB" w:rsidR="00990006" w:rsidRPr="004C2059" w:rsidRDefault="00990006">
      <w:pPr>
        <w:pStyle w:val="FootnoteText"/>
        <w:rPr>
          <w:rFonts w:ascii="Times New Roman" w:hAnsi="Times New Roman" w:cs="Times New Roman"/>
          <w:lang w:val="en-CA"/>
        </w:rPr>
      </w:pPr>
      <w:r w:rsidRPr="00AD2E70">
        <w:rPr>
          <w:rStyle w:val="FootnoteReference"/>
          <w:rFonts w:ascii="Times New Roman" w:hAnsi="Times New Roman" w:cs="Times New Roman"/>
        </w:rPr>
        <w:footnoteRef/>
      </w:r>
      <w:r w:rsidRPr="00AD2E70">
        <w:rPr>
          <w:rFonts w:ascii="Times New Roman" w:hAnsi="Times New Roman" w:cs="Times New Roman"/>
        </w:rPr>
        <w:t xml:space="preserve"> </w:t>
      </w:r>
      <w:r w:rsidR="00E47F8B" w:rsidRPr="00B33F81">
        <w:rPr>
          <w:rFonts w:ascii="Times New Roman" w:hAnsi="Times New Roman" w:cs="Times New Roman"/>
          <w:i/>
          <w:iCs/>
        </w:rPr>
        <w:t>Ibid</w:t>
      </w:r>
      <w:r w:rsidR="006B1ECA" w:rsidRPr="00AD2E70">
        <w:rPr>
          <w:rFonts w:ascii="Times New Roman" w:hAnsi="Times New Roman" w:cs="Times New Roman"/>
        </w:rPr>
        <w:t>.</w:t>
      </w:r>
    </w:p>
  </w:footnote>
  <w:footnote w:id="14">
    <w:p w14:paraId="2A939AD8" w14:textId="4AEAC799" w:rsidR="005B2CD1" w:rsidRPr="00AD2E70" w:rsidRDefault="005B2CD1">
      <w:pPr>
        <w:pStyle w:val="FootnoteText"/>
        <w:rPr>
          <w:rFonts w:ascii="Times New Roman" w:hAnsi="Times New Roman" w:cs="Times New Roman"/>
          <w:lang w:val="en-CA"/>
        </w:rPr>
      </w:pPr>
      <w:r w:rsidRPr="00AD2E70">
        <w:rPr>
          <w:rStyle w:val="FootnoteReference"/>
          <w:rFonts w:ascii="Times New Roman" w:hAnsi="Times New Roman" w:cs="Times New Roman"/>
        </w:rPr>
        <w:footnoteRef/>
      </w:r>
      <w:r w:rsidRPr="00AD2E70">
        <w:rPr>
          <w:rFonts w:ascii="Times New Roman" w:hAnsi="Times New Roman" w:cs="Times New Roman"/>
        </w:rPr>
        <w:t xml:space="preserve"> </w:t>
      </w:r>
      <w:r w:rsidR="00B33F81" w:rsidRPr="00B33F81">
        <w:rPr>
          <w:rFonts w:ascii="Times New Roman" w:hAnsi="Times New Roman" w:cs="Times New Roman"/>
          <w:i/>
          <w:iCs/>
        </w:rPr>
        <w:t>Canada Corp</w:t>
      </w:r>
      <w:r w:rsidR="006B1ECA" w:rsidRPr="00AD2E70">
        <w:rPr>
          <w:rFonts w:ascii="Times New Roman" w:hAnsi="Times New Roman" w:cs="Times New Roman"/>
          <w:lang w:val="en-CA"/>
        </w:rPr>
        <w:t>.</w:t>
      </w:r>
      <w:r w:rsidR="00B33F81">
        <w:rPr>
          <w:rFonts w:ascii="Times New Roman" w:hAnsi="Times New Roman" w:cs="Times New Roman"/>
          <w:lang w:val="en-CA"/>
        </w:rPr>
        <w:t xml:space="preserve">, </w:t>
      </w:r>
      <w:r w:rsidR="00B33F81" w:rsidRPr="00B33F81">
        <w:rPr>
          <w:rFonts w:ascii="Times New Roman" w:hAnsi="Times New Roman" w:cs="Times New Roman"/>
          <w:i/>
          <w:iCs/>
          <w:lang w:val="en-CA"/>
        </w:rPr>
        <w:t>supra</w:t>
      </w:r>
      <w:r w:rsidR="00B33F81">
        <w:rPr>
          <w:rFonts w:ascii="Times New Roman" w:hAnsi="Times New Roman" w:cs="Times New Roman"/>
          <w:lang w:val="en-CA"/>
        </w:rPr>
        <w:t xml:space="preserve"> note 8.</w:t>
      </w:r>
    </w:p>
  </w:footnote>
  <w:footnote w:id="15">
    <w:p w14:paraId="0674E620" w14:textId="6E0302BD" w:rsidR="006C4B43" w:rsidRPr="00AD2E70" w:rsidRDefault="006C4B43">
      <w:pPr>
        <w:pStyle w:val="FootnoteText"/>
        <w:rPr>
          <w:rFonts w:ascii="Times New Roman" w:hAnsi="Times New Roman" w:cs="Times New Roman"/>
          <w:lang w:val="en-CA"/>
        </w:rPr>
      </w:pPr>
      <w:r w:rsidRPr="00AD2E70">
        <w:rPr>
          <w:rStyle w:val="FootnoteReference"/>
          <w:rFonts w:ascii="Times New Roman" w:hAnsi="Times New Roman" w:cs="Times New Roman"/>
        </w:rPr>
        <w:footnoteRef/>
      </w:r>
      <w:r w:rsidRPr="00AD2E70">
        <w:rPr>
          <w:rFonts w:ascii="Times New Roman" w:hAnsi="Times New Roman" w:cs="Times New Roman"/>
        </w:rPr>
        <w:t xml:space="preserve"> </w:t>
      </w:r>
      <w:r w:rsidRPr="00AD2E70">
        <w:rPr>
          <w:rFonts w:ascii="Times New Roman" w:hAnsi="Times New Roman" w:cs="Times New Roman"/>
          <w:i/>
          <w:iCs/>
        </w:rPr>
        <w:t>22 King St</w:t>
      </w:r>
      <w:r w:rsidRPr="00AD2E70">
        <w:rPr>
          <w:rFonts w:ascii="Times New Roman" w:hAnsi="Times New Roman" w:cs="Times New Roman"/>
        </w:rPr>
        <w:t xml:space="preserve">., </w:t>
      </w:r>
      <w:r w:rsidRPr="00AD2E70">
        <w:rPr>
          <w:rFonts w:ascii="Times New Roman" w:hAnsi="Times New Roman" w:cs="Times New Roman"/>
          <w:i/>
          <w:iCs/>
        </w:rPr>
        <w:t>supra</w:t>
      </w:r>
      <w:r w:rsidRPr="00AD2E70">
        <w:rPr>
          <w:rFonts w:ascii="Times New Roman" w:hAnsi="Times New Roman" w:cs="Times New Roman"/>
        </w:rPr>
        <w:t xml:space="preserve"> note 3; </w:t>
      </w:r>
      <w:r w:rsidRPr="00AD2E70">
        <w:rPr>
          <w:rFonts w:ascii="Times New Roman" w:hAnsi="Times New Roman" w:cs="Times New Roman"/>
          <w:i/>
          <w:iCs/>
        </w:rPr>
        <w:t>Toronto-Dominion Bank v. Island Heat Tanning Centers Inc.</w:t>
      </w:r>
      <w:r w:rsidRPr="00AD2E70">
        <w:rPr>
          <w:rFonts w:ascii="Times New Roman" w:hAnsi="Times New Roman" w:cs="Times New Roman"/>
        </w:rPr>
        <w:t>, 2014 ONSC 4333</w:t>
      </w:r>
      <w:r w:rsidR="006B1ECA" w:rsidRPr="00AD2E70">
        <w:rPr>
          <w:rFonts w:ascii="Times New Roman" w:hAnsi="Times New Roman" w:cs="Times New Roman"/>
        </w:rPr>
        <w:t xml:space="preserve"> [</w:t>
      </w:r>
      <w:r w:rsidR="006B1ECA" w:rsidRPr="00AD2E70">
        <w:rPr>
          <w:rFonts w:ascii="Times New Roman" w:hAnsi="Times New Roman" w:cs="Times New Roman"/>
          <w:i/>
          <w:iCs/>
        </w:rPr>
        <w:t>Island Heat Tanning</w:t>
      </w:r>
      <w:r w:rsidR="006B1ECA" w:rsidRPr="00AD2E70">
        <w:rPr>
          <w:rFonts w:ascii="Times New Roman" w:hAnsi="Times New Roman" w:cs="Times New Roman"/>
        </w:rPr>
        <w:t>]</w:t>
      </w:r>
      <w:r w:rsidRPr="00AD2E70">
        <w:rPr>
          <w:rFonts w:ascii="Times New Roman" w:hAnsi="Times New Roman" w:cs="Times New Roman"/>
        </w:rPr>
        <w:t xml:space="preserve">; </w:t>
      </w:r>
      <w:r w:rsidRPr="00AD2E70">
        <w:rPr>
          <w:rFonts w:ascii="Times New Roman" w:hAnsi="Times New Roman" w:cs="Times New Roman"/>
          <w:i/>
          <w:iCs/>
        </w:rPr>
        <w:t>Rescon Financial Corp. v. New Era Development (2011) Inc</w:t>
      </w:r>
      <w:r w:rsidRPr="00AD2E70">
        <w:rPr>
          <w:rFonts w:ascii="Times New Roman" w:hAnsi="Times New Roman" w:cs="Times New Roman"/>
        </w:rPr>
        <w:t xml:space="preserve">, 2018 ONSC 259; and </w:t>
      </w:r>
      <w:r w:rsidRPr="00AD2E70">
        <w:rPr>
          <w:rFonts w:ascii="Times New Roman" w:hAnsi="Times New Roman" w:cs="Times New Roman"/>
          <w:i/>
          <w:iCs/>
        </w:rPr>
        <w:t>BNS v. Compas</w:t>
      </w:r>
      <w:r w:rsidRPr="00AD2E70">
        <w:rPr>
          <w:rFonts w:ascii="Times New Roman" w:hAnsi="Times New Roman" w:cs="Times New Roman"/>
        </w:rPr>
        <w:t>, 2018 ONSC 3262</w:t>
      </w:r>
      <w:r w:rsidR="006B1ECA" w:rsidRPr="00AD2E70">
        <w:rPr>
          <w:rFonts w:ascii="Times New Roman" w:hAnsi="Times New Roman" w:cs="Times New Roman"/>
        </w:rPr>
        <w:t>.</w:t>
      </w:r>
    </w:p>
  </w:footnote>
  <w:footnote w:id="16">
    <w:p w14:paraId="094F5803" w14:textId="0333AC1F" w:rsidR="006B1ECA" w:rsidRPr="00AD2E70" w:rsidRDefault="006B1ECA">
      <w:pPr>
        <w:pStyle w:val="FootnoteText"/>
        <w:rPr>
          <w:rFonts w:ascii="Times New Roman" w:hAnsi="Times New Roman" w:cs="Times New Roman"/>
          <w:lang w:val="en-CA"/>
        </w:rPr>
      </w:pPr>
      <w:r w:rsidRPr="00AD2E70">
        <w:rPr>
          <w:rStyle w:val="FootnoteReference"/>
          <w:rFonts w:ascii="Times New Roman" w:hAnsi="Times New Roman" w:cs="Times New Roman"/>
        </w:rPr>
        <w:footnoteRef/>
      </w:r>
      <w:r w:rsidRPr="00AD2E70">
        <w:rPr>
          <w:rFonts w:ascii="Times New Roman" w:hAnsi="Times New Roman" w:cs="Times New Roman"/>
        </w:rPr>
        <w:t xml:space="preserve"> </w:t>
      </w:r>
      <w:r w:rsidRPr="00AD2E70">
        <w:rPr>
          <w:rFonts w:ascii="Times New Roman" w:hAnsi="Times New Roman" w:cs="Times New Roman"/>
          <w:i/>
          <w:iCs/>
          <w:lang w:val="en-CA"/>
        </w:rPr>
        <w:t>Island Heat Tanning</w:t>
      </w:r>
      <w:r w:rsidRPr="00AD2E70">
        <w:rPr>
          <w:rFonts w:ascii="Times New Roman" w:hAnsi="Times New Roman" w:cs="Times New Roman"/>
          <w:lang w:val="en-CA"/>
        </w:rPr>
        <w:t xml:space="preserve">, </w:t>
      </w:r>
      <w:r w:rsidRPr="00B33F81">
        <w:rPr>
          <w:rFonts w:ascii="Times New Roman" w:hAnsi="Times New Roman" w:cs="Times New Roman"/>
          <w:i/>
          <w:iCs/>
          <w:lang w:val="en-CA"/>
        </w:rPr>
        <w:t>ibid</w:t>
      </w:r>
      <w:r w:rsidRPr="00AD2E70">
        <w:rPr>
          <w:rFonts w:ascii="Times New Roman" w:hAnsi="Times New Roman" w:cs="Times New Roman"/>
          <w:lang w:val="en-CA"/>
        </w:rPr>
        <w:t xml:space="preserve"> at para 16.</w:t>
      </w:r>
    </w:p>
  </w:footnote>
  <w:footnote w:id="17">
    <w:p w14:paraId="569BF068" w14:textId="705ED8A2" w:rsidR="006B1ECA" w:rsidRPr="00AD2E70" w:rsidRDefault="006B1ECA">
      <w:pPr>
        <w:pStyle w:val="FootnoteText"/>
        <w:rPr>
          <w:rFonts w:ascii="Times New Roman" w:hAnsi="Times New Roman" w:cs="Times New Roman"/>
          <w:lang w:val="en-CA"/>
        </w:rPr>
      </w:pPr>
      <w:r w:rsidRPr="00AD2E70">
        <w:rPr>
          <w:rStyle w:val="FootnoteReference"/>
          <w:rFonts w:ascii="Times New Roman" w:hAnsi="Times New Roman" w:cs="Times New Roman"/>
        </w:rPr>
        <w:footnoteRef/>
      </w:r>
      <w:r w:rsidRPr="00AD2E70">
        <w:rPr>
          <w:rFonts w:ascii="Times New Roman" w:hAnsi="Times New Roman" w:cs="Times New Roman"/>
        </w:rPr>
        <w:t xml:space="preserve"> </w:t>
      </w:r>
      <w:r w:rsidRPr="00AD2E70">
        <w:rPr>
          <w:rFonts w:ascii="Times New Roman" w:hAnsi="Times New Roman" w:cs="Times New Roman"/>
          <w:i/>
          <w:iCs/>
          <w:lang w:val="en-CA"/>
        </w:rPr>
        <w:t>22 King St., supra</w:t>
      </w:r>
      <w:r w:rsidRPr="00AD2E70">
        <w:rPr>
          <w:rFonts w:ascii="Times New Roman" w:hAnsi="Times New Roman" w:cs="Times New Roman"/>
          <w:lang w:val="en-CA"/>
        </w:rPr>
        <w:t xml:space="preserve"> note 3 at para 36.</w:t>
      </w:r>
    </w:p>
  </w:footnote>
  <w:footnote w:id="18">
    <w:p w14:paraId="0411481F" w14:textId="63A9B7A9" w:rsidR="00FE7894" w:rsidRPr="00AD2E70" w:rsidRDefault="00FE7894">
      <w:pPr>
        <w:pStyle w:val="FootnoteText"/>
        <w:rPr>
          <w:rFonts w:ascii="Times New Roman" w:hAnsi="Times New Roman" w:cs="Times New Roman"/>
          <w:lang w:val="en-CA"/>
        </w:rPr>
      </w:pPr>
      <w:r w:rsidRPr="00AD2E70">
        <w:rPr>
          <w:rStyle w:val="FootnoteReference"/>
          <w:rFonts w:ascii="Times New Roman" w:hAnsi="Times New Roman" w:cs="Times New Roman"/>
        </w:rPr>
        <w:footnoteRef/>
      </w:r>
      <w:r w:rsidRPr="00AD2E70">
        <w:rPr>
          <w:rFonts w:ascii="Times New Roman" w:hAnsi="Times New Roman" w:cs="Times New Roman"/>
        </w:rPr>
        <w:t xml:space="preserve"> </w:t>
      </w:r>
      <w:r w:rsidRPr="00B33F81">
        <w:rPr>
          <w:rFonts w:ascii="Times New Roman" w:hAnsi="Times New Roman" w:cs="Times New Roman"/>
          <w:i/>
          <w:iCs/>
          <w:lang w:val="en-CA"/>
        </w:rPr>
        <w:t>Hryniak</w:t>
      </w:r>
      <w:r w:rsidRPr="00AD2E70">
        <w:rPr>
          <w:rFonts w:ascii="Times New Roman" w:hAnsi="Times New Roman" w:cs="Times New Roman"/>
          <w:lang w:val="en-CA"/>
        </w:rPr>
        <w:t xml:space="preserve">, </w:t>
      </w:r>
      <w:r w:rsidRPr="006028AC">
        <w:rPr>
          <w:rFonts w:ascii="Times New Roman" w:hAnsi="Times New Roman" w:cs="Times New Roman"/>
          <w:i/>
          <w:iCs/>
          <w:lang w:val="en-CA"/>
        </w:rPr>
        <w:t>supra</w:t>
      </w:r>
      <w:r w:rsidRPr="00AD2E70">
        <w:rPr>
          <w:rFonts w:ascii="Times New Roman" w:hAnsi="Times New Roman" w:cs="Times New Roman"/>
          <w:lang w:val="en-CA"/>
        </w:rPr>
        <w:t xml:space="preserve"> note 1 at para 49</w:t>
      </w:r>
      <w:r w:rsidR="00063D88">
        <w:rPr>
          <w:rFonts w:ascii="Times New Roman" w:hAnsi="Times New Roman" w:cs="Times New Roman"/>
          <w:lang w:val="en-CA"/>
        </w:rPr>
        <w:t>.</w:t>
      </w:r>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D0C"/>
    <w:multiLevelType w:val="hybridMultilevel"/>
    <w:tmpl w:val="248A0DB6"/>
    <w:lvl w:ilvl="0" w:tplc="8D0EB910">
      <w:start w:val="200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47542"/>
    <w:multiLevelType w:val="hybridMultilevel"/>
    <w:tmpl w:val="356855FC"/>
    <w:lvl w:ilvl="0" w:tplc="E7AC35BE">
      <w:start w:val="1"/>
      <w:numFmt w:val="bullet"/>
      <w:pStyle w:val="RS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B43B4A"/>
    <w:multiLevelType w:val="hybridMultilevel"/>
    <w:tmpl w:val="27CE5E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DA2NDa2NLE0NLdU0lEKTi0uzszPAykwrgUAijuX5ywAAAA="/>
  </w:docVars>
  <w:rsids>
    <w:rsidRoot w:val="00626679"/>
    <w:rsid w:val="00044FAC"/>
    <w:rsid w:val="00063D88"/>
    <w:rsid w:val="000A0F1B"/>
    <w:rsid w:val="00113281"/>
    <w:rsid w:val="0012099B"/>
    <w:rsid w:val="001D209C"/>
    <w:rsid w:val="0030105D"/>
    <w:rsid w:val="00335F06"/>
    <w:rsid w:val="00353D78"/>
    <w:rsid w:val="00383D54"/>
    <w:rsid w:val="003A7519"/>
    <w:rsid w:val="003B4BF8"/>
    <w:rsid w:val="00484C1E"/>
    <w:rsid w:val="004B15BF"/>
    <w:rsid w:val="004C2059"/>
    <w:rsid w:val="004E1E11"/>
    <w:rsid w:val="004E7AD9"/>
    <w:rsid w:val="00526E88"/>
    <w:rsid w:val="005B2CD1"/>
    <w:rsid w:val="005E7CBC"/>
    <w:rsid w:val="006028AC"/>
    <w:rsid w:val="0062252F"/>
    <w:rsid w:val="00626679"/>
    <w:rsid w:val="00692428"/>
    <w:rsid w:val="006A0E84"/>
    <w:rsid w:val="006B1ECA"/>
    <w:rsid w:val="006C4B43"/>
    <w:rsid w:val="006E02DC"/>
    <w:rsid w:val="00750281"/>
    <w:rsid w:val="0075305D"/>
    <w:rsid w:val="00760C8D"/>
    <w:rsid w:val="007B18EB"/>
    <w:rsid w:val="007F3F2B"/>
    <w:rsid w:val="008C5608"/>
    <w:rsid w:val="00901076"/>
    <w:rsid w:val="00960EF7"/>
    <w:rsid w:val="00970D96"/>
    <w:rsid w:val="009810E4"/>
    <w:rsid w:val="00990006"/>
    <w:rsid w:val="00992C0B"/>
    <w:rsid w:val="009944F4"/>
    <w:rsid w:val="009C7DB7"/>
    <w:rsid w:val="00A110CF"/>
    <w:rsid w:val="00A44DF3"/>
    <w:rsid w:val="00A45963"/>
    <w:rsid w:val="00A9612C"/>
    <w:rsid w:val="00AB4BC4"/>
    <w:rsid w:val="00AD2E70"/>
    <w:rsid w:val="00B33F81"/>
    <w:rsid w:val="00B60D92"/>
    <w:rsid w:val="00B75A74"/>
    <w:rsid w:val="00BB55EF"/>
    <w:rsid w:val="00C172C0"/>
    <w:rsid w:val="00CB188D"/>
    <w:rsid w:val="00D55157"/>
    <w:rsid w:val="00D6163E"/>
    <w:rsid w:val="00DB5F33"/>
    <w:rsid w:val="00DD4FD6"/>
    <w:rsid w:val="00E47F8B"/>
    <w:rsid w:val="00E54CD4"/>
    <w:rsid w:val="00E62E83"/>
    <w:rsid w:val="00EA7843"/>
    <w:rsid w:val="00EF63B6"/>
    <w:rsid w:val="00F24521"/>
    <w:rsid w:val="00F53270"/>
    <w:rsid w:val="00F96DB5"/>
    <w:rsid w:val="00FE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02A9"/>
  <w15:docId w15:val="{B19C7ED2-C366-43AF-9957-EAE24DDA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679"/>
    <w:pPr>
      <w:ind w:left="720"/>
      <w:contextualSpacing/>
    </w:pPr>
  </w:style>
  <w:style w:type="paragraph" w:styleId="FootnoteText">
    <w:name w:val="footnote text"/>
    <w:basedOn w:val="Normal"/>
    <w:link w:val="FootnoteTextChar"/>
    <w:uiPriority w:val="99"/>
    <w:semiHidden/>
    <w:unhideWhenUsed/>
    <w:rsid w:val="00484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C1E"/>
    <w:rPr>
      <w:sz w:val="20"/>
      <w:szCs w:val="20"/>
    </w:rPr>
  </w:style>
  <w:style w:type="character" w:styleId="FootnoteReference">
    <w:name w:val="footnote reference"/>
    <w:basedOn w:val="DefaultParagraphFont"/>
    <w:uiPriority w:val="99"/>
    <w:semiHidden/>
    <w:unhideWhenUsed/>
    <w:rsid w:val="00484C1E"/>
    <w:rPr>
      <w:vertAlign w:val="superscript"/>
    </w:rPr>
  </w:style>
  <w:style w:type="paragraph" w:styleId="Header">
    <w:name w:val="header"/>
    <w:basedOn w:val="Normal"/>
    <w:link w:val="HeaderChar"/>
    <w:uiPriority w:val="99"/>
    <w:unhideWhenUsed/>
    <w:rsid w:val="0099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006"/>
  </w:style>
  <w:style w:type="paragraph" w:styleId="Footer">
    <w:name w:val="footer"/>
    <w:basedOn w:val="Normal"/>
    <w:link w:val="FooterChar"/>
    <w:uiPriority w:val="99"/>
    <w:unhideWhenUsed/>
    <w:rsid w:val="0099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006"/>
  </w:style>
  <w:style w:type="character" w:styleId="Emphasis">
    <w:name w:val="Emphasis"/>
    <w:basedOn w:val="DefaultParagraphFont"/>
    <w:uiPriority w:val="20"/>
    <w:qFormat/>
    <w:rsid w:val="00EA7843"/>
    <w:rPr>
      <w:i/>
      <w:iCs/>
    </w:rPr>
  </w:style>
  <w:style w:type="character" w:styleId="Hyperlink">
    <w:name w:val="Hyperlink"/>
    <w:basedOn w:val="DefaultParagraphFont"/>
    <w:uiPriority w:val="99"/>
    <w:semiHidden/>
    <w:unhideWhenUsed/>
    <w:rsid w:val="00EA7843"/>
    <w:rPr>
      <w:color w:val="0000FF"/>
      <w:u w:val="single"/>
    </w:rPr>
  </w:style>
  <w:style w:type="paragraph" w:customStyle="1" w:styleId="RSBulletedList">
    <w:name w:val="RS Bulleted List"/>
    <w:basedOn w:val="Normal"/>
    <w:rsid w:val="00E47F8B"/>
    <w:pPr>
      <w:numPr>
        <w:numId w:val="2"/>
      </w:numPr>
      <w:tabs>
        <w:tab w:val="clear" w:pos="567"/>
        <w:tab w:val="left" w:pos="1134"/>
        <w:tab w:val="left" w:pos="1701"/>
        <w:tab w:val="left" w:pos="2268"/>
        <w:tab w:val="left" w:pos="2835"/>
        <w:tab w:val="left" w:pos="3402"/>
        <w:tab w:val="left" w:pos="3969"/>
        <w:tab w:val="left" w:pos="4536"/>
        <w:tab w:val="left" w:pos="5103"/>
      </w:tabs>
      <w:spacing w:before="240" w:after="0" w:line="240" w:lineRule="auto"/>
      <w:jc w:val="both"/>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DD4FD6"/>
    <w:rPr>
      <w:sz w:val="16"/>
      <w:szCs w:val="16"/>
    </w:rPr>
  </w:style>
  <w:style w:type="paragraph" w:styleId="CommentText">
    <w:name w:val="annotation text"/>
    <w:basedOn w:val="Normal"/>
    <w:link w:val="CommentTextChar"/>
    <w:uiPriority w:val="99"/>
    <w:semiHidden/>
    <w:unhideWhenUsed/>
    <w:rsid w:val="00DD4FD6"/>
    <w:pPr>
      <w:spacing w:line="240" w:lineRule="auto"/>
    </w:pPr>
    <w:rPr>
      <w:sz w:val="20"/>
      <w:szCs w:val="20"/>
    </w:rPr>
  </w:style>
  <w:style w:type="character" w:customStyle="1" w:styleId="CommentTextChar">
    <w:name w:val="Comment Text Char"/>
    <w:basedOn w:val="DefaultParagraphFont"/>
    <w:link w:val="CommentText"/>
    <w:uiPriority w:val="99"/>
    <w:semiHidden/>
    <w:rsid w:val="00DD4FD6"/>
    <w:rPr>
      <w:sz w:val="20"/>
      <w:szCs w:val="20"/>
    </w:rPr>
  </w:style>
  <w:style w:type="paragraph" w:styleId="CommentSubject">
    <w:name w:val="annotation subject"/>
    <w:basedOn w:val="CommentText"/>
    <w:next w:val="CommentText"/>
    <w:link w:val="CommentSubjectChar"/>
    <w:uiPriority w:val="99"/>
    <w:semiHidden/>
    <w:unhideWhenUsed/>
    <w:rsid w:val="00DD4FD6"/>
    <w:rPr>
      <w:b/>
      <w:bCs/>
    </w:rPr>
  </w:style>
  <w:style w:type="character" w:customStyle="1" w:styleId="CommentSubjectChar">
    <w:name w:val="Comment Subject Char"/>
    <w:basedOn w:val="CommentTextChar"/>
    <w:link w:val="CommentSubject"/>
    <w:uiPriority w:val="99"/>
    <w:semiHidden/>
    <w:rsid w:val="00DD4FD6"/>
    <w:rPr>
      <w:b/>
      <w:bCs/>
      <w:sz w:val="20"/>
      <w:szCs w:val="20"/>
    </w:rPr>
  </w:style>
  <w:style w:type="paragraph" w:styleId="BalloonText">
    <w:name w:val="Balloon Text"/>
    <w:basedOn w:val="Normal"/>
    <w:link w:val="BalloonTextChar"/>
    <w:uiPriority w:val="99"/>
    <w:semiHidden/>
    <w:unhideWhenUsed/>
    <w:rsid w:val="00DD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87116">
      <w:bodyDiv w:val="1"/>
      <w:marLeft w:val="0"/>
      <w:marRight w:val="0"/>
      <w:marTop w:val="0"/>
      <w:marBottom w:val="0"/>
      <w:divBdr>
        <w:top w:val="none" w:sz="0" w:space="0" w:color="auto"/>
        <w:left w:val="none" w:sz="0" w:space="0" w:color="auto"/>
        <w:bottom w:val="none" w:sz="0" w:space="0" w:color="auto"/>
        <w:right w:val="none" w:sz="0" w:space="0" w:color="auto"/>
      </w:divBdr>
    </w:div>
    <w:div w:id="1645817895">
      <w:bodyDiv w:val="1"/>
      <w:marLeft w:val="0"/>
      <w:marRight w:val="0"/>
      <w:marTop w:val="0"/>
      <w:marBottom w:val="0"/>
      <w:divBdr>
        <w:top w:val="none" w:sz="0" w:space="0" w:color="auto"/>
        <w:left w:val="none" w:sz="0" w:space="0" w:color="auto"/>
        <w:bottom w:val="none" w:sz="0" w:space="0" w:color="auto"/>
        <w:right w:val="none" w:sz="0" w:space="0" w:color="auto"/>
      </w:divBdr>
    </w:div>
    <w:div w:id="17482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F666-0C63-478C-B863-FB44E9AC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6741</Characters>
  <Application>Microsoft Office Word</Application>
  <DocSecurity>0</DocSecurity>
  <PresentationFormat/>
  <Lines>93</Lines>
  <Paragraphs>11</Paragraphs>
  <ScaleCrop>false</ScaleCrop>
  <HeadingPairs>
    <vt:vector size="2" baseType="variant">
      <vt:variant>
        <vt:lpstr>Title</vt:lpstr>
      </vt:variant>
      <vt:variant>
        <vt:i4>1</vt:i4>
      </vt:variant>
    </vt:vector>
  </HeadingPairs>
  <TitlesOfParts>
    <vt:vector size="1" baseType="lpstr">
      <vt:lpstr>STLA Article - Feb 6/2020 (S1102093).DOCX</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STLA Article (S1102093-2).DOCX</dc:title>
  <dc:creator>Brandon Ambros</dc:creator>
  <cp:lastModifiedBy>Brett Maerz</cp:lastModifiedBy>
  <cp:revision>5</cp:revision>
  <cp:lastPrinted>2020-02-06T03:16:00Z</cp:lastPrinted>
  <dcterms:created xsi:type="dcterms:W3CDTF">2020-02-06T19:09:00Z</dcterms:created>
  <dcterms:modified xsi:type="dcterms:W3CDTF">2020-02-06T19:11:00Z</dcterms:modified>
</cp:coreProperties>
</file>